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801" w:rsidRDefault="0037392B" w:rsidP="00A067AD">
      <w:pPr>
        <w:jc w:val="center"/>
        <w:rPr>
          <w:rFonts w:ascii="Arial" w:hAnsi="Arial" w:cs="Arial"/>
          <w:b/>
          <w:lang w:val="en-US"/>
        </w:rPr>
      </w:pPr>
      <w:r>
        <w:rPr>
          <w:rFonts w:ascii="Arial" w:hAnsi="Arial" w:cs="Arial"/>
          <w:b/>
          <w:lang w:val="en-US"/>
        </w:rPr>
        <w:t>4</w:t>
      </w:r>
      <w:r w:rsidRPr="0037392B">
        <w:rPr>
          <w:rFonts w:ascii="Arial" w:hAnsi="Arial" w:cs="Arial"/>
          <w:b/>
          <w:vertAlign w:val="superscript"/>
          <w:lang w:val="en-US"/>
        </w:rPr>
        <w:t>th</w:t>
      </w:r>
      <w:r>
        <w:rPr>
          <w:rFonts w:ascii="Arial" w:hAnsi="Arial" w:cs="Arial"/>
          <w:b/>
          <w:lang w:val="en-US"/>
        </w:rPr>
        <w:t xml:space="preserve"> </w:t>
      </w:r>
      <w:r w:rsidR="00EA7801">
        <w:rPr>
          <w:rFonts w:ascii="Arial" w:hAnsi="Arial" w:cs="Arial"/>
          <w:b/>
          <w:lang w:val="en-US"/>
        </w:rPr>
        <w:t>Meeting of ENTSO-E Stakeholder</w:t>
      </w:r>
      <w:r w:rsidR="001D5266" w:rsidRPr="00E26AFC">
        <w:rPr>
          <w:rFonts w:ascii="Arial" w:hAnsi="Arial" w:cs="Arial"/>
          <w:b/>
          <w:lang w:val="en-US"/>
        </w:rPr>
        <w:t xml:space="preserve"> </w:t>
      </w:r>
      <w:r w:rsidR="00EA7801">
        <w:rPr>
          <w:rFonts w:ascii="Arial" w:hAnsi="Arial" w:cs="Arial"/>
          <w:b/>
          <w:lang w:val="en-US"/>
        </w:rPr>
        <w:t xml:space="preserve">Group for CA&amp;CM Network Code </w:t>
      </w:r>
    </w:p>
    <w:p w:rsidR="001D5266" w:rsidRPr="00E26AFC" w:rsidRDefault="001D5266" w:rsidP="00A067AD">
      <w:pPr>
        <w:jc w:val="center"/>
        <w:rPr>
          <w:rFonts w:ascii="Arial" w:hAnsi="Arial" w:cs="Arial"/>
          <w:b/>
          <w:lang w:val="en-US"/>
        </w:rPr>
      </w:pPr>
      <w:r w:rsidRPr="00E26AFC">
        <w:rPr>
          <w:rFonts w:ascii="Arial" w:hAnsi="Arial" w:cs="Arial"/>
          <w:b/>
          <w:lang w:val="en-US"/>
        </w:rPr>
        <w:t>Meeting Minutes</w:t>
      </w:r>
    </w:p>
    <w:p w:rsidR="001D5266" w:rsidRPr="00E26AFC" w:rsidRDefault="0037392B" w:rsidP="00A067AD">
      <w:pPr>
        <w:jc w:val="center"/>
        <w:rPr>
          <w:rFonts w:ascii="Arial" w:hAnsi="Arial" w:cs="Arial"/>
          <w:b/>
          <w:lang w:val="en-US"/>
        </w:rPr>
      </w:pPr>
      <w:r>
        <w:rPr>
          <w:rFonts w:ascii="Arial" w:hAnsi="Arial" w:cs="Arial"/>
          <w:b/>
          <w:lang w:val="en-US"/>
        </w:rPr>
        <w:t>2</w:t>
      </w:r>
      <w:r w:rsidRPr="0037392B">
        <w:rPr>
          <w:rFonts w:ascii="Arial" w:hAnsi="Arial" w:cs="Arial"/>
          <w:b/>
          <w:vertAlign w:val="superscript"/>
          <w:lang w:val="en-US"/>
        </w:rPr>
        <w:t>nd</w:t>
      </w:r>
      <w:r>
        <w:rPr>
          <w:rFonts w:ascii="Arial" w:hAnsi="Arial" w:cs="Arial"/>
          <w:b/>
          <w:lang w:val="en-US"/>
        </w:rPr>
        <w:t xml:space="preserve"> February</w:t>
      </w:r>
      <w:r w:rsidR="00EA7801">
        <w:rPr>
          <w:rFonts w:ascii="Arial" w:hAnsi="Arial" w:cs="Arial"/>
          <w:b/>
          <w:lang w:val="en-US"/>
        </w:rPr>
        <w:t xml:space="preserve"> </w:t>
      </w:r>
      <w:r>
        <w:rPr>
          <w:rFonts w:ascii="Arial" w:hAnsi="Arial" w:cs="Arial"/>
          <w:b/>
          <w:lang w:val="en-US"/>
        </w:rPr>
        <w:t>2012</w:t>
      </w:r>
      <w:r w:rsidR="00EA7801">
        <w:rPr>
          <w:rFonts w:ascii="Arial" w:hAnsi="Arial" w:cs="Arial"/>
          <w:b/>
          <w:lang w:val="en-US"/>
        </w:rPr>
        <w:t>, Brussels</w:t>
      </w:r>
    </w:p>
    <w:p w:rsidR="001D5266" w:rsidRPr="00E26AFC" w:rsidRDefault="001D5266" w:rsidP="00E26AFC">
      <w:pPr>
        <w:rPr>
          <w:rFonts w:ascii="Arial" w:hAnsi="Arial" w:cs="Arial"/>
          <w:b/>
          <w:sz w:val="20"/>
          <w:szCs w:val="20"/>
          <w:lang w:val="en-US"/>
        </w:rPr>
      </w:pPr>
      <w:r w:rsidRPr="00E26AFC">
        <w:rPr>
          <w:rFonts w:ascii="Arial" w:hAnsi="Arial" w:cs="Arial"/>
          <w:b/>
          <w:sz w:val="20"/>
          <w:szCs w:val="20"/>
          <w:lang w:val="en-US"/>
        </w:rPr>
        <w:t>Participants</w:t>
      </w:r>
      <w:r>
        <w:rPr>
          <w:rFonts w:ascii="Arial" w:hAnsi="Arial" w:cs="Arial"/>
          <w:b/>
          <w:sz w:val="20"/>
          <w:szCs w:val="20"/>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1946"/>
        <w:gridCol w:w="2303"/>
        <w:gridCol w:w="2324"/>
      </w:tblGrid>
      <w:tr w:rsidR="001D5266" w:rsidRPr="00495F45" w:rsidTr="00D065CA">
        <w:tc>
          <w:tcPr>
            <w:tcW w:w="2660" w:type="dxa"/>
          </w:tcPr>
          <w:p w:rsidR="001D5266" w:rsidRPr="00495F45" w:rsidRDefault="001D5266" w:rsidP="00A067AD">
            <w:pPr>
              <w:ind w:left="720"/>
              <w:rPr>
                <w:rFonts w:ascii="Arial" w:hAnsi="Arial" w:cs="Arial"/>
                <w:b/>
                <w:sz w:val="16"/>
                <w:szCs w:val="16"/>
                <w:lang w:val="en-US"/>
              </w:rPr>
            </w:pPr>
            <w:r w:rsidRPr="00495F45">
              <w:rPr>
                <w:rFonts w:ascii="Arial" w:hAnsi="Arial" w:cs="Arial"/>
                <w:b/>
                <w:sz w:val="16"/>
                <w:szCs w:val="16"/>
                <w:lang w:val="en-US"/>
              </w:rPr>
              <w:t>Name</w:t>
            </w:r>
          </w:p>
        </w:tc>
        <w:tc>
          <w:tcPr>
            <w:tcW w:w="1946" w:type="dxa"/>
          </w:tcPr>
          <w:p w:rsidR="001D5266" w:rsidRPr="00495F45" w:rsidRDefault="001D5266" w:rsidP="00A067AD">
            <w:pPr>
              <w:ind w:left="720"/>
              <w:rPr>
                <w:rFonts w:ascii="Arial" w:hAnsi="Arial" w:cs="Arial"/>
                <w:b/>
                <w:sz w:val="16"/>
                <w:szCs w:val="16"/>
                <w:lang w:val="en-US"/>
              </w:rPr>
            </w:pPr>
            <w:r w:rsidRPr="00495F45">
              <w:rPr>
                <w:rFonts w:ascii="Arial" w:hAnsi="Arial" w:cs="Arial"/>
                <w:b/>
                <w:sz w:val="16"/>
                <w:szCs w:val="16"/>
                <w:lang w:val="en-US"/>
              </w:rPr>
              <w:t>Organization</w:t>
            </w:r>
          </w:p>
        </w:tc>
        <w:tc>
          <w:tcPr>
            <w:tcW w:w="2303" w:type="dxa"/>
          </w:tcPr>
          <w:p w:rsidR="001D5266" w:rsidRPr="00495F45" w:rsidRDefault="001D5266" w:rsidP="00A067AD">
            <w:pPr>
              <w:ind w:left="720"/>
              <w:rPr>
                <w:rFonts w:ascii="Arial" w:hAnsi="Arial" w:cs="Arial"/>
                <w:b/>
                <w:sz w:val="16"/>
                <w:szCs w:val="16"/>
                <w:lang w:val="en-US"/>
              </w:rPr>
            </w:pPr>
            <w:r w:rsidRPr="00495F45">
              <w:rPr>
                <w:rFonts w:ascii="Arial" w:hAnsi="Arial" w:cs="Arial"/>
                <w:b/>
                <w:sz w:val="16"/>
                <w:szCs w:val="16"/>
                <w:lang w:val="en-US"/>
              </w:rPr>
              <w:t>Name</w:t>
            </w:r>
          </w:p>
        </w:tc>
        <w:tc>
          <w:tcPr>
            <w:tcW w:w="2324" w:type="dxa"/>
          </w:tcPr>
          <w:p w:rsidR="001D5266" w:rsidRPr="00495F45" w:rsidRDefault="001D5266" w:rsidP="00A121AB">
            <w:pPr>
              <w:ind w:left="720"/>
              <w:rPr>
                <w:rFonts w:ascii="Arial" w:hAnsi="Arial" w:cs="Arial"/>
                <w:b/>
                <w:sz w:val="16"/>
                <w:szCs w:val="16"/>
                <w:lang w:val="en-US"/>
              </w:rPr>
            </w:pPr>
            <w:r w:rsidRPr="00495F45">
              <w:rPr>
                <w:rFonts w:ascii="Arial" w:hAnsi="Arial" w:cs="Arial"/>
                <w:b/>
                <w:sz w:val="16"/>
                <w:szCs w:val="16"/>
                <w:lang w:val="en-US"/>
              </w:rPr>
              <w:t>Organization</w:t>
            </w:r>
          </w:p>
        </w:tc>
      </w:tr>
      <w:tr w:rsidR="007B59E2" w:rsidRPr="00495F45" w:rsidTr="00D065CA">
        <w:tc>
          <w:tcPr>
            <w:tcW w:w="2660" w:type="dxa"/>
          </w:tcPr>
          <w:p w:rsidR="007B59E2" w:rsidRPr="00390598" w:rsidRDefault="007B59E2" w:rsidP="0065605B">
            <w:pPr>
              <w:ind w:left="720"/>
              <w:rPr>
                <w:rFonts w:ascii="Arial" w:hAnsi="Arial" w:cs="Arial"/>
                <w:sz w:val="16"/>
                <w:szCs w:val="16"/>
                <w:lang w:val="en-US"/>
              </w:rPr>
            </w:pPr>
            <w:r w:rsidRPr="00390598">
              <w:rPr>
                <w:rFonts w:ascii="Arial" w:hAnsi="Arial" w:cs="Arial"/>
                <w:sz w:val="16"/>
                <w:szCs w:val="16"/>
                <w:lang w:val="en-US"/>
              </w:rPr>
              <w:t>Antonio Lopez-Nicolas</w:t>
            </w:r>
          </w:p>
        </w:tc>
        <w:tc>
          <w:tcPr>
            <w:tcW w:w="1946" w:type="dxa"/>
          </w:tcPr>
          <w:p w:rsidR="007B59E2" w:rsidRPr="00390598" w:rsidRDefault="007B59E2" w:rsidP="00D065CA">
            <w:pPr>
              <w:rPr>
                <w:rFonts w:ascii="Arial" w:hAnsi="Arial" w:cs="Arial"/>
                <w:sz w:val="16"/>
                <w:szCs w:val="16"/>
                <w:lang w:val="en-US"/>
              </w:rPr>
            </w:pPr>
            <w:r w:rsidRPr="00390598">
              <w:rPr>
                <w:rFonts w:ascii="Arial" w:hAnsi="Arial" w:cs="Arial"/>
                <w:sz w:val="16"/>
                <w:szCs w:val="16"/>
                <w:lang w:val="en-US"/>
              </w:rPr>
              <w:t>ENTSO-E Secretariat</w:t>
            </w:r>
          </w:p>
        </w:tc>
        <w:tc>
          <w:tcPr>
            <w:tcW w:w="2303" w:type="dxa"/>
          </w:tcPr>
          <w:p w:rsidR="007B59E2" w:rsidRPr="00390598" w:rsidRDefault="001B67F2" w:rsidP="00837BC6">
            <w:pPr>
              <w:ind w:left="720"/>
              <w:rPr>
                <w:rFonts w:ascii="Arial" w:hAnsi="Arial" w:cs="Arial"/>
                <w:sz w:val="16"/>
                <w:szCs w:val="16"/>
                <w:lang w:val="en-US"/>
              </w:rPr>
            </w:pPr>
            <w:r>
              <w:rPr>
                <w:sz w:val="16"/>
                <w:szCs w:val="16"/>
                <w:lang w:val="en-US"/>
              </w:rPr>
              <w:t>Sven Kaiser</w:t>
            </w:r>
          </w:p>
        </w:tc>
        <w:tc>
          <w:tcPr>
            <w:tcW w:w="2324" w:type="dxa"/>
          </w:tcPr>
          <w:p w:rsidR="007B59E2" w:rsidRPr="00390598" w:rsidRDefault="001B67F2" w:rsidP="001B67F2">
            <w:pPr>
              <w:rPr>
                <w:rFonts w:ascii="Arial" w:hAnsi="Arial" w:cs="Arial"/>
                <w:sz w:val="16"/>
                <w:szCs w:val="16"/>
                <w:lang w:val="en-US"/>
              </w:rPr>
            </w:pPr>
            <w:r>
              <w:rPr>
                <w:rFonts w:ascii="Arial" w:hAnsi="Arial" w:cs="Arial"/>
                <w:sz w:val="16"/>
                <w:szCs w:val="16"/>
                <w:lang w:val="en-US"/>
              </w:rPr>
              <w:t>CEER</w:t>
            </w:r>
          </w:p>
        </w:tc>
      </w:tr>
      <w:tr w:rsidR="002B7CA3" w:rsidRPr="00495F45" w:rsidTr="00D065CA">
        <w:tc>
          <w:tcPr>
            <w:tcW w:w="2660" w:type="dxa"/>
          </w:tcPr>
          <w:p w:rsidR="002B7CA3" w:rsidRPr="00390598" w:rsidRDefault="002B7CA3" w:rsidP="0065605B">
            <w:pPr>
              <w:ind w:left="720"/>
              <w:rPr>
                <w:rFonts w:ascii="Arial" w:hAnsi="Arial" w:cs="Arial"/>
                <w:sz w:val="16"/>
                <w:szCs w:val="16"/>
                <w:lang w:val="en-US"/>
              </w:rPr>
            </w:pPr>
            <w:r w:rsidRPr="00390598">
              <w:rPr>
                <w:rFonts w:ascii="Arial" w:hAnsi="Arial" w:cs="Arial"/>
                <w:sz w:val="16"/>
                <w:szCs w:val="16"/>
                <w:lang w:val="en-US"/>
              </w:rPr>
              <w:t>Mark Copley</w:t>
            </w:r>
          </w:p>
        </w:tc>
        <w:tc>
          <w:tcPr>
            <w:tcW w:w="1946" w:type="dxa"/>
          </w:tcPr>
          <w:p w:rsidR="002B7CA3" w:rsidRPr="00390598" w:rsidRDefault="002B7CA3" w:rsidP="00D065CA">
            <w:pPr>
              <w:rPr>
                <w:rFonts w:ascii="Arial" w:hAnsi="Arial" w:cs="Arial"/>
                <w:sz w:val="16"/>
                <w:szCs w:val="16"/>
                <w:lang w:val="en-US"/>
              </w:rPr>
            </w:pPr>
            <w:r w:rsidRPr="00390598">
              <w:rPr>
                <w:rFonts w:ascii="Arial" w:hAnsi="Arial" w:cs="Arial"/>
                <w:sz w:val="16"/>
                <w:szCs w:val="16"/>
                <w:lang w:val="en-US"/>
              </w:rPr>
              <w:t>ENTSO-E Secretariat</w:t>
            </w:r>
          </w:p>
        </w:tc>
        <w:tc>
          <w:tcPr>
            <w:tcW w:w="2303" w:type="dxa"/>
          </w:tcPr>
          <w:p w:rsidR="002B7CA3" w:rsidRPr="00390598" w:rsidRDefault="002B7CA3" w:rsidP="001B67F2">
            <w:pPr>
              <w:ind w:left="720"/>
              <w:rPr>
                <w:rFonts w:ascii="Arial" w:hAnsi="Arial" w:cs="Arial"/>
                <w:sz w:val="16"/>
                <w:szCs w:val="16"/>
                <w:lang w:val="en-US"/>
              </w:rPr>
            </w:pPr>
            <w:r w:rsidRPr="00390598">
              <w:rPr>
                <w:rFonts w:ascii="Arial" w:hAnsi="Arial" w:cs="Arial"/>
                <w:sz w:val="16"/>
                <w:szCs w:val="16"/>
                <w:lang w:val="en-US"/>
              </w:rPr>
              <w:t>Chris Wood</w:t>
            </w:r>
          </w:p>
        </w:tc>
        <w:tc>
          <w:tcPr>
            <w:tcW w:w="2324" w:type="dxa"/>
          </w:tcPr>
          <w:p w:rsidR="002B7CA3" w:rsidRPr="00390598" w:rsidRDefault="002B7CA3" w:rsidP="001B67F2">
            <w:pPr>
              <w:rPr>
                <w:rFonts w:ascii="Arial" w:hAnsi="Arial" w:cs="Arial"/>
                <w:sz w:val="16"/>
                <w:szCs w:val="16"/>
                <w:lang w:val="en-US"/>
              </w:rPr>
            </w:pPr>
            <w:r w:rsidRPr="00390598">
              <w:rPr>
                <w:rFonts w:ascii="Arial" w:hAnsi="Arial" w:cs="Arial"/>
                <w:sz w:val="16"/>
                <w:szCs w:val="16"/>
                <w:lang w:val="en-US"/>
              </w:rPr>
              <w:t>CEFIC</w:t>
            </w:r>
          </w:p>
        </w:tc>
      </w:tr>
      <w:tr w:rsidR="002B7CA3" w:rsidRPr="00495F45" w:rsidTr="00D065CA">
        <w:tc>
          <w:tcPr>
            <w:tcW w:w="2660" w:type="dxa"/>
          </w:tcPr>
          <w:p w:rsidR="002B7CA3" w:rsidRPr="00390598" w:rsidRDefault="002B7CA3" w:rsidP="0065605B">
            <w:pPr>
              <w:ind w:left="720"/>
              <w:rPr>
                <w:rFonts w:ascii="Arial" w:hAnsi="Arial" w:cs="Arial"/>
                <w:sz w:val="16"/>
                <w:szCs w:val="16"/>
                <w:lang w:val="en-US"/>
              </w:rPr>
            </w:pPr>
            <w:r w:rsidRPr="00390598">
              <w:rPr>
                <w:rFonts w:ascii="Arial" w:hAnsi="Arial" w:cs="Arial"/>
                <w:sz w:val="16"/>
                <w:szCs w:val="16"/>
                <w:lang w:val="en-US"/>
              </w:rPr>
              <w:t xml:space="preserve">Carolina </w:t>
            </w:r>
            <w:proofErr w:type="spellStart"/>
            <w:r w:rsidRPr="00390598">
              <w:rPr>
                <w:rFonts w:ascii="Arial" w:hAnsi="Arial" w:cs="Arial"/>
                <w:sz w:val="16"/>
                <w:szCs w:val="16"/>
                <w:lang w:val="en-US"/>
              </w:rPr>
              <w:t>Tengqvist</w:t>
            </w:r>
            <w:proofErr w:type="spellEnd"/>
          </w:p>
        </w:tc>
        <w:tc>
          <w:tcPr>
            <w:tcW w:w="1946" w:type="dxa"/>
          </w:tcPr>
          <w:p w:rsidR="002B7CA3" w:rsidRPr="00390598" w:rsidRDefault="002B7CA3" w:rsidP="00D065CA">
            <w:pPr>
              <w:rPr>
                <w:rFonts w:ascii="Arial" w:hAnsi="Arial" w:cs="Arial"/>
                <w:sz w:val="16"/>
                <w:szCs w:val="16"/>
                <w:lang w:val="en-US"/>
              </w:rPr>
            </w:pPr>
            <w:r w:rsidRPr="00390598">
              <w:rPr>
                <w:rFonts w:ascii="Arial" w:hAnsi="Arial" w:cs="Arial"/>
                <w:sz w:val="16"/>
                <w:szCs w:val="16"/>
                <w:lang w:val="en-US"/>
              </w:rPr>
              <w:t>ENTSO-E Secretariat</w:t>
            </w:r>
          </w:p>
        </w:tc>
        <w:tc>
          <w:tcPr>
            <w:tcW w:w="2303" w:type="dxa"/>
          </w:tcPr>
          <w:p w:rsidR="002B7CA3" w:rsidRPr="00390598" w:rsidRDefault="002B7CA3" w:rsidP="001B67F2">
            <w:pPr>
              <w:ind w:left="720"/>
              <w:rPr>
                <w:rFonts w:ascii="Arial" w:hAnsi="Arial" w:cs="Arial"/>
                <w:sz w:val="16"/>
                <w:szCs w:val="16"/>
                <w:lang w:val="en-US"/>
              </w:rPr>
            </w:pPr>
            <w:proofErr w:type="spellStart"/>
            <w:r w:rsidRPr="00390598">
              <w:rPr>
                <w:rFonts w:ascii="Arial" w:hAnsi="Arial" w:cs="Arial"/>
                <w:sz w:val="16"/>
                <w:szCs w:val="16"/>
                <w:lang w:val="en-US"/>
              </w:rPr>
              <w:t>Matti</w:t>
            </w:r>
            <w:proofErr w:type="spellEnd"/>
            <w:r w:rsidRPr="00390598">
              <w:rPr>
                <w:rFonts w:ascii="Arial" w:hAnsi="Arial" w:cs="Arial"/>
                <w:sz w:val="16"/>
                <w:szCs w:val="16"/>
                <w:lang w:val="en-US"/>
              </w:rPr>
              <w:t xml:space="preserve"> </w:t>
            </w:r>
            <w:proofErr w:type="spellStart"/>
            <w:r w:rsidRPr="00390598">
              <w:rPr>
                <w:rFonts w:ascii="Arial" w:hAnsi="Arial" w:cs="Arial"/>
                <w:sz w:val="16"/>
                <w:szCs w:val="16"/>
                <w:lang w:val="en-US"/>
              </w:rPr>
              <w:t>Supponen</w:t>
            </w:r>
            <w:proofErr w:type="spellEnd"/>
          </w:p>
        </w:tc>
        <w:tc>
          <w:tcPr>
            <w:tcW w:w="2324" w:type="dxa"/>
          </w:tcPr>
          <w:p w:rsidR="002B7CA3" w:rsidRPr="00390598" w:rsidRDefault="002B7CA3" w:rsidP="001B67F2">
            <w:pPr>
              <w:rPr>
                <w:rFonts w:ascii="Arial" w:hAnsi="Arial" w:cs="Arial"/>
                <w:sz w:val="16"/>
                <w:szCs w:val="16"/>
                <w:lang w:val="en-US"/>
              </w:rPr>
            </w:pPr>
            <w:r w:rsidRPr="00390598">
              <w:rPr>
                <w:rFonts w:ascii="Arial" w:hAnsi="Arial" w:cs="Arial"/>
                <w:sz w:val="16"/>
                <w:szCs w:val="16"/>
                <w:lang w:val="en-US"/>
              </w:rPr>
              <w:t>EC</w:t>
            </w:r>
          </w:p>
        </w:tc>
      </w:tr>
      <w:tr w:rsidR="002B7CA3" w:rsidRPr="00495F45" w:rsidTr="00D065CA">
        <w:tc>
          <w:tcPr>
            <w:tcW w:w="2660" w:type="dxa"/>
          </w:tcPr>
          <w:p w:rsidR="002B7CA3" w:rsidRPr="00390598" w:rsidRDefault="002B7CA3" w:rsidP="0065605B">
            <w:pPr>
              <w:ind w:left="720"/>
              <w:rPr>
                <w:rFonts w:ascii="Arial" w:hAnsi="Arial" w:cs="Arial"/>
                <w:sz w:val="16"/>
                <w:szCs w:val="16"/>
                <w:lang w:val="en-US"/>
              </w:rPr>
            </w:pPr>
            <w:r w:rsidRPr="00390598">
              <w:rPr>
                <w:rFonts w:ascii="Arial" w:hAnsi="Arial" w:cs="Arial"/>
                <w:sz w:val="16"/>
                <w:szCs w:val="16"/>
                <w:lang w:val="en-US"/>
              </w:rPr>
              <w:t xml:space="preserve">Samuel </w:t>
            </w:r>
            <w:proofErr w:type="spellStart"/>
            <w:r w:rsidRPr="00390598">
              <w:rPr>
                <w:rFonts w:ascii="Arial" w:hAnsi="Arial" w:cs="Arial"/>
                <w:sz w:val="16"/>
                <w:szCs w:val="16"/>
                <w:lang w:val="en-US"/>
              </w:rPr>
              <w:t>Scolari</w:t>
            </w:r>
            <w:proofErr w:type="spellEnd"/>
          </w:p>
        </w:tc>
        <w:tc>
          <w:tcPr>
            <w:tcW w:w="1946" w:type="dxa"/>
          </w:tcPr>
          <w:p w:rsidR="002B7CA3" w:rsidRPr="00390598" w:rsidRDefault="002B7CA3" w:rsidP="00D065CA">
            <w:pPr>
              <w:rPr>
                <w:rFonts w:ascii="Arial" w:hAnsi="Arial" w:cs="Arial"/>
                <w:sz w:val="16"/>
                <w:szCs w:val="16"/>
                <w:lang w:val="en-US"/>
              </w:rPr>
            </w:pPr>
            <w:r w:rsidRPr="00390598">
              <w:rPr>
                <w:rFonts w:ascii="Arial" w:hAnsi="Arial" w:cs="Arial"/>
                <w:sz w:val="16"/>
                <w:szCs w:val="16"/>
                <w:lang w:val="en-US"/>
              </w:rPr>
              <w:t>RTE/ ENTSO-E</w:t>
            </w:r>
          </w:p>
        </w:tc>
        <w:tc>
          <w:tcPr>
            <w:tcW w:w="2303" w:type="dxa"/>
          </w:tcPr>
          <w:p w:rsidR="002B7CA3" w:rsidRPr="00390598" w:rsidRDefault="002B7CA3" w:rsidP="001B67F2">
            <w:pPr>
              <w:ind w:left="720"/>
              <w:rPr>
                <w:rFonts w:ascii="Arial" w:hAnsi="Arial" w:cs="Arial"/>
                <w:sz w:val="16"/>
                <w:szCs w:val="16"/>
                <w:lang w:val="en-US"/>
              </w:rPr>
            </w:pPr>
            <w:r w:rsidRPr="00390598">
              <w:rPr>
                <w:rFonts w:ascii="Arial" w:hAnsi="Arial" w:cs="Arial"/>
                <w:sz w:val="16"/>
                <w:szCs w:val="16"/>
                <w:lang w:val="en-US"/>
              </w:rPr>
              <w:t xml:space="preserve">Paul </w:t>
            </w:r>
            <w:proofErr w:type="spellStart"/>
            <w:r w:rsidRPr="00390598">
              <w:rPr>
                <w:rFonts w:ascii="Arial" w:hAnsi="Arial" w:cs="Arial"/>
                <w:sz w:val="16"/>
                <w:szCs w:val="16"/>
                <w:lang w:val="en-US"/>
              </w:rPr>
              <w:t>Giesbertz</w:t>
            </w:r>
            <w:proofErr w:type="spellEnd"/>
          </w:p>
        </w:tc>
        <w:tc>
          <w:tcPr>
            <w:tcW w:w="2324" w:type="dxa"/>
          </w:tcPr>
          <w:p w:rsidR="002B7CA3" w:rsidRPr="00390598" w:rsidRDefault="002B7CA3" w:rsidP="001B67F2">
            <w:pPr>
              <w:rPr>
                <w:rFonts w:ascii="Arial" w:hAnsi="Arial" w:cs="Arial"/>
                <w:sz w:val="16"/>
                <w:szCs w:val="16"/>
                <w:lang w:val="en-US"/>
              </w:rPr>
            </w:pPr>
            <w:r w:rsidRPr="00390598">
              <w:rPr>
                <w:rFonts w:ascii="Arial" w:hAnsi="Arial" w:cs="Arial"/>
                <w:sz w:val="16"/>
                <w:szCs w:val="16"/>
                <w:lang w:val="en-US"/>
              </w:rPr>
              <w:t>EFET</w:t>
            </w:r>
          </w:p>
        </w:tc>
      </w:tr>
      <w:tr w:rsidR="002B7CA3" w:rsidRPr="00495F45" w:rsidTr="00D065CA">
        <w:tc>
          <w:tcPr>
            <w:tcW w:w="2660" w:type="dxa"/>
          </w:tcPr>
          <w:p w:rsidR="002B7CA3" w:rsidRPr="00390598" w:rsidRDefault="002B7CA3" w:rsidP="0065605B">
            <w:pPr>
              <w:ind w:left="720"/>
              <w:rPr>
                <w:rFonts w:ascii="Arial" w:hAnsi="Arial" w:cs="Arial"/>
                <w:sz w:val="16"/>
                <w:szCs w:val="16"/>
                <w:lang w:val="en-US"/>
              </w:rPr>
            </w:pPr>
            <w:r w:rsidRPr="00390598">
              <w:rPr>
                <w:rFonts w:ascii="Arial" w:hAnsi="Arial" w:cs="Arial"/>
                <w:sz w:val="16"/>
                <w:szCs w:val="16"/>
                <w:lang w:val="en-US"/>
              </w:rPr>
              <w:t>Oliver John</w:t>
            </w:r>
          </w:p>
        </w:tc>
        <w:tc>
          <w:tcPr>
            <w:tcW w:w="1946" w:type="dxa"/>
          </w:tcPr>
          <w:p w:rsidR="002B7CA3" w:rsidRPr="00390598" w:rsidRDefault="002B7CA3" w:rsidP="00D065CA">
            <w:pPr>
              <w:rPr>
                <w:rFonts w:ascii="Arial" w:hAnsi="Arial" w:cs="Arial"/>
                <w:sz w:val="16"/>
                <w:szCs w:val="16"/>
                <w:lang w:val="en-US"/>
              </w:rPr>
            </w:pPr>
            <w:r w:rsidRPr="00390598">
              <w:rPr>
                <w:rFonts w:ascii="Arial" w:hAnsi="Arial" w:cs="Arial"/>
                <w:sz w:val="16"/>
                <w:szCs w:val="16"/>
                <w:lang w:val="en-US"/>
              </w:rPr>
              <w:t>Amprion/ENTSO-E</w:t>
            </w:r>
          </w:p>
        </w:tc>
        <w:tc>
          <w:tcPr>
            <w:tcW w:w="2303" w:type="dxa"/>
          </w:tcPr>
          <w:p w:rsidR="002B7CA3" w:rsidRPr="001B67F2" w:rsidRDefault="001B67F2" w:rsidP="001B67F2">
            <w:pPr>
              <w:ind w:left="720"/>
              <w:rPr>
                <w:rFonts w:ascii="Arial" w:hAnsi="Arial" w:cs="Arial"/>
                <w:sz w:val="16"/>
                <w:szCs w:val="16"/>
                <w:lang w:val="nl-BE"/>
              </w:rPr>
            </w:pPr>
            <w:r w:rsidRPr="001B67F2">
              <w:rPr>
                <w:rFonts w:ascii="Arial" w:hAnsi="Arial" w:cs="Arial"/>
                <w:sz w:val="16"/>
                <w:szCs w:val="16"/>
                <w:lang w:val="nl-BE"/>
              </w:rPr>
              <w:t>Arben Kllokoqi</w:t>
            </w:r>
          </w:p>
        </w:tc>
        <w:tc>
          <w:tcPr>
            <w:tcW w:w="2324" w:type="dxa"/>
          </w:tcPr>
          <w:p w:rsidR="002B7CA3" w:rsidRPr="00390598" w:rsidRDefault="002B7CA3" w:rsidP="001B67F2">
            <w:pPr>
              <w:rPr>
                <w:rFonts w:ascii="Arial" w:hAnsi="Arial" w:cs="Arial"/>
                <w:sz w:val="16"/>
                <w:szCs w:val="16"/>
                <w:lang w:val="en-US"/>
              </w:rPr>
            </w:pPr>
            <w:r w:rsidRPr="00390598">
              <w:rPr>
                <w:rFonts w:ascii="Arial" w:hAnsi="Arial" w:cs="Arial"/>
                <w:sz w:val="16"/>
                <w:szCs w:val="16"/>
                <w:lang w:val="en-US"/>
              </w:rPr>
              <w:t>EFET</w:t>
            </w:r>
          </w:p>
        </w:tc>
      </w:tr>
      <w:tr w:rsidR="002B7CA3" w:rsidRPr="00495F45" w:rsidTr="00D065CA">
        <w:tc>
          <w:tcPr>
            <w:tcW w:w="2660" w:type="dxa"/>
          </w:tcPr>
          <w:p w:rsidR="002B7CA3" w:rsidRPr="00390598" w:rsidRDefault="002B7CA3" w:rsidP="00A067AD">
            <w:pPr>
              <w:ind w:left="720"/>
              <w:rPr>
                <w:rFonts w:ascii="Arial" w:hAnsi="Arial" w:cs="Arial"/>
                <w:sz w:val="16"/>
                <w:szCs w:val="16"/>
                <w:lang w:val="en-US"/>
              </w:rPr>
            </w:pPr>
            <w:proofErr w:type="spellStart"/>
            <w:r w:rsidRPr="00390598">
              <w:rPr>
                <w:rFonts w:ascii="Arial" w:hAnsi="Arial" w:cs="Arial"/>
                <w:sz w:val="16"/>
                <w:szCs w:val="16"/>
                <w:lang w:val="en-US"/>
              </w:rPr>
              <w:t>Ritva</w:t>
            </w:r>
            <w:proofErr w:type="spellEnd"/>
            <w:r w:rsidRPr="00390598">
              <w:rPr>
                <w:rFonts w:ascii="Arial" w:hAnsi="Arial" w:cs="Arial"/>
                <w:sz w:val="16"/>
                <w:szCs w:val="16"/>
                <w:lang w:val="en-US"/>
              </w:rPr>
              <w:t xml:space="preserve"> </w:t>
            </w:r>
            <w:proofErr w:type="spellStart"/>
            <w:r w:rsidRPr="00390598">
              <w:rPr>
                <w:rFonts w:ascii="Arial" w:hAnsi="Arial" w:cs="Arial"/>
                <w:sz w:val="16"/>
                <w:szCs w:val="16"/>
                <w:lang w:val="en-US"/>
              </w:rPr>
              <w:t>Hirvonen</w:t>
            </w:r>
            <w:proofErr w:type="spellEnd"/>
          </w:p>
        </w:tc>
        <w:tc>
          <w:tcPr>
            <w:tcW w:w="1946" w:type="dxa"/>
          </w:tcPr>
          <w:p w:rsidR="002B7CA3" w:rsidRPr="00390598" w:rsidRDefault="002B7CA3" w:rsidP="00D065CA">
            <w:pPr>
              <w:rPr>
                <w:rFonts w:ascii="Arial" w:hAnsi="Arial" w:cs="Arial"/>
                <w:sz w:val="16"/>
                <w:szCs w:val="16"/>
                <w:lang w:val="en-US"/>
              </w:rPr>
            </w:pPr>
            <w:proofErr w:type="spellStart"/>
            <w:r w:rsidRPr="00390598">
              <w:rPr>
                <w:rFonts w:ascii="Arial" w:hAnsi="Arial" w:cs="Arial"/>
                <w:sz w:val="16"/>
                <w:szCs w:val="16"/>
                <w:lang w:val="en-US"/>
              </w:rPr>
              <w:t>Fingrid</w:t>
            </w:r>
            <w:proofErr w:type="spellEnd"/>
            <w:r w:rsidRPr="00390598">
              <w:rPr>
                <w:rFonts w:ascii="Arial" w:hAnsi="Arial" w:cs="Arial"/>
                <w:sz w:val="16"/>
                <w:szCs w:val="16"/>
                <w:lang w:val="en-US"/>
              </w:rPr>
              <w:t>/ENTSO-E</w:t>
            </w:r>
          </w:p>
        </w:tc>
        <w:tc>
          <w:tcPr>
            <w:tcW w:w="2303" w:type="dxa"/>
          </w:tcPr>
          <w:p w:rsidR="002B7CA3" w:rsidRPr="00390598" w:rsidRDefault="002B7CA3" w:rsidP="001B67F2">
            <w:pPr>
              <w:ind w:left="720"/>
              <w:rPr>
                <w:rFonts w:ascii="Arial" w:hAnsi="Arial" w:cs="Arial"/>
                <w:sz w:val="16"/>
                <w:szCs w:val="16"/>
                <w:lang w:val="en-US"/>
              </w:rPr>
            </w:pPr>
            <w:r w:rsidRPr="00390598">
              <w:rPr>
                <w:rFonts w:ascii="Arial" w:hAnsi="Arial" w:cs="Arial"/>
                <w:sz w:val="16"/>
                <w:szCs w:val="16"/>
                <w:lang w:val="en-US"/>
              </w:rPr>
              <w:t xml:space="preserve">David </w:t>
            </w:r>
            <w:proofErr w:type="spellStart"/>
            <w:r w:rsidRPr="00390598">
              <w:rPr>
                <w:rFonts w:ascii="Arial" w:hAnsi="Arial" w:cs="Arial"/>
                <w:sz w:val="16"/>
                <w:szCs w:val="16"/>
                <w:lang w:val="en-US"/>
              </w:rPr>
              <w:t>Assaad</w:t>
            </w:r>
            <w:proofErr w:type="spellEnd"/>
          </w:p>
        </w:tc>
        <w:tc>
          <w:tcPr>
            <w:tcW w:w="2324" w:type="dxa"/>
          </w:tcPr>
          <w:p w:rsidR="002B7CA3" w:rsidRPr="00390598" w:rsidRDefault="001B67F2" w:rsidP="001B67F2">
            <w:pPr>
              <w:rPr>
                <w:rFonts w:ascii="Arial" w:hAnsi="Arial" w:cs="Arial"/>
                <w:sz w:val="16"/>
                <w:szCs w:val="16"/>
                <w:lang w:val="en-US"/>
              </w:rPr>
            </w:pPr>
            <w:proofErr w:type="spellStart"/>
            <w:r>
              <w:rPr>
                <w:rFonts w:ascii="Arial" w:hAnsi="Arial" w:cs="Arial"/>
                <w:sz w:val="16"/>
                <w:szCs w:val="16"/>
                <w:lang w:val="en-US"/>
              </w:rPr>
              <w:t>Europ</w:t>
            </w:r>
            <w:r w:rsidR="002B7CA3" w:rsidRPr="00390598">
              <w:rPr>
                <w:rFonts w:ascii="Arial" w:hAnsi="Arial" w:cs="Arial"/>
                <w:sz w:val="16"/>
                <w:szCs w:val="16"/>
                <w:lang w:val="en-US"/>
              </w:rPr>
              <w:t>ex</w:t>
            </w:r>
            <w:proofErr w:type="spellEnd"/>
          </w:p>
        </w:tc>
      </w:tr>
      <w:tr w:rsidR="002B7CA3" w:rsidRPr="00495F45" w:rsidTr="00D065CA">
        <w:tc>
          <w:tcPr>
            <w:tcW w:w="2660" w:type="dxa"/>
          </w:tcPr>
          <w:p w:rsidR="002B7CA3" w:rsidRPr="00390598" w:rsidRDefault="002B7CA3" w:rsidP="00A067AD">
            <w:pPr>
              <w:ind w:left="720"/>
              <w:rPr>
                <w:rFonts w:ascii="Arial" w:hAnsi="Arial" w:cs="Arial"/>
                <w:sz w:val="16"/>
                <w:szCs w:val="16"/>
                <w:lang w:val="en-US"/>
              </w:rPr>
            </w:pPr>
            <w:r w:rsidRPr="00390598">
              <w:rPr>
                <w:rFonts w:ascii="Arial" w:hAnsi="Arial" w:cs="Arial"/>
                <w:sz w:val="16"/>
                <w:szCs w:val="16"/>
                <w:lang w:val="en-US"/>
              </w:rPr>
              <w:t>Christian Dobelke</w:t>
            </w:r>
          </w:p>
        </w:tc>
        <w:tc>
          <w:tcPr>
            <w:tcW w:w="1946" w:type="dxa"/>
          </w:tcPr>
          <w:p w:rsidR="002B7CA3" w:rsidRPr="00390598" w:rsidRDefault="002B7CA3" w:rsidP="00D065CA">
            <w:pPr>
              <w:rPr>
                <w:rFonts w:ascii="Arial" w:hAnsi="Arial" w:cs="Arial"/>
                <w:sz w:val="16"/>
                <w:szCs w:val="16"/>
                <w:lang w:val="en-US"/>
              </w:rPr>
            </w:pPr>
            <w:r w:rsidRPr="00390598">
              <w:rPr>
                <w:rFonts w:ascii="Arial" w:hAnsi="Arial" w:cs="Arial"/>
                <w:sz w:val="16"/>
                <w:szCs w:val="16"/>
                <w:lang w:val="en-US"/>
              </w:rPr>
              <w:t>TenneT/ENTSO-E</w:t>
            </w:r>
          </w:p>
        </w:tc>
        <w:tc>
          <w:tcPr>
            <w:tcW w:w="2303" w:type="dxa"/>
          </w:tcPr>
          <w:p w:rsidR="002B7CA3" w:rsidRPr="00390598" w:rsidRDefault="002B7CA3" w:rsidP="001B67F2">
            <w:pPr>
              <w:jc w:val="center"/>
              <w:rPr>
                <w:rFonts w:ascii="Arial" w:hAnsi="Arial" w:cs="Arial"/>
                <w:sz w:val="16"/>
                <w:szCs w:val="16"/>
                <w:lang w:val="en-US"/>
              </w:rPr>
            </w:pPr>
            <w:r w:rsidRPr="00390598">
              <w:rPr>
                <w:rFonts w:ascii="Arial" w:hAnsi="Arial" w:cs="Arial"/>
                <w:sz w:val="16"/>
                <w:szCs w:val="16"/>
                <w:lang w:val="en-US"/>
              </w:rPr>
              <w:t xml:space="preserve">       Yves Langer</w:t>
            </w:r>
          </w:p>
        </w:tc>
        <w:tc>
          <w:tcPr>
            <w:tcW w:w="2324" w:type="dxa"/>
          </w:tcPr>
          <w:p w:rsidR="002B7CA3" w:rsidRPr="00390598" w:rsidRDefault="001B67F2" w:rsidP="001B67F2">
            <w:pPr>
              <w:rPr>
                <w:rFonts w:ascii="Arial" w:hAnsi="Arial" w:cs="Arial"/>
                <w:sz w:val="16"/>
                <w:szCs w:val="16"/>
                <w:lang w:val="en-US"/>
              </w:rPr>
            </w:pPr>
            <w:proofErr w:type="spellStart"/>
            <w:r>
              <w:rPr>
                <w:rFonts w:ascii="Arial" w:hAnsi="Arial" w:cs="Arial"/>
                <w:sz w:val="16"/>
                <w:szCs w:val="16"/>
                <w:lang w:val="en-US"/>
              </w:rPr>
              <w:t>Europ</w:t>
            </w:r>
            <w:r w:rsidR="002B7CA3" w:rsidRPr="00390598">
              <w:rPr>
                <w:rFonts w:ascii="Arial" w:hAnsi="Arial" w:cs="Arial"/>
                <w:sz w:val="16"/>
                <w:szCs w:val="16"/>
                <w:lang w:val="en-US"/>
              </w:rPr>
              <w:t>ex</w:t>
            </w:r>
            <w:proofErr w:type="spellEnd"/>
          </w:p>
        </w:tc>
      </w:tr>
      <w:tr w:rsidR="002B7CA3" w:rsidRPr="00495F45" w:rsidTr="00D065CA">
        <w:tc>
          <w:tcPr>
            <w:tcW w:w="2660" w:type="dxa"/>
          </w:tcPr>
          <w:p w:rsidR="002B7CA3" w:rsidRPr="00390598" w:rsidRDefault="002B7CA3" w:rsidP="0065605B">
            <w:pPr>
              <w:ind w:left="720"/>
              <w:rPr>
                <w:rFonts w:ascii="Arial" w:hAnsi="Arial" w:cs="Arial"/>
                <w:sz w:val="16"/>
                <w:szCs w:val="16"/>
                <w:lang w:val="en-US"/>
              </w:rPr>
            </w:pPr>
            <w:r w:rsidRPr="00390598">
              <w:rPr>
                <w:rFonts w:ascii="Arial" w:hAnsi="Arial" w:cs="Arial"/>
                <w:sz w:val="16"/>
                <w:szCs w:val="16"/>
                <w:lang w:val="en-US"/>
              </w:rPr>
              <w:t>Alexander Mondovic</w:t>
            </w:r>
          </w:p>
        </w:tc>
        <w:tc>
          <w:tcPr>
            <w:tcW w:w="1946" w:type="dxa"/>
          </w:tcPr>
          <w:p w:rsidR="002B7CA3" w:rsidRPr="00390598" w:rsidRDefault="002B7CA3" w:rsidP="00D065CA">
            <w:pPr>
              <w:rPr>
                <w:rFonts w:ascii="Arial" w:hAnsi="Arial" w:cs="Arial"/>
                <w:sz w:val="16"/>
                <w:szCs w:val="16"/>
                <w:lang w:val="en-US"/>
              </w:rPr>
            </w:pPr>
            <w:r w:rsidRPr="00390598">
              <w:rPr>
                <w:rFonts w:ascii="Arial" w:hAnsi="Arial" w:cs="Arial"/>
                <w:sz w:val="16"/>
                <w:szCs w:val="16"/>
                <w:lang w:val="en-US"/>
              </w:rPr>
              <w:t>ENTSO-E Secretariat</w:t>
            </w:r>
          </w:p>
        </w:tc>
        <w:tc>
          <w:tcPr>
            <w:tcW w:w="2303" w:type="dxa"/>
          </w:tcPr>
          <w:p w:rsidR="002B7CA3" w:rsidRPr="00390598" w:rsidRDefault="002B7CA3" w:rsidP="001B67F2">
            <w:pPr>
              <w:ind w:left="720"/>
              <w:rPr>
                <w:rFonts w:ascii="Arial" w:hAnsi="Arial" w:cs="Arial"/>
                <w:sz w:val="16"/>
                <w:szCs w:val="16"/>
                <w:lang w:val="en-US"/>
              </w:rPr>
            </w:pPr>
            <w:r w:rsidRPr="00390598">
              <w:rPr>
                <w:rFonts w:ascii="Arial" w:hAnsi="Arial" w:cs="Arial"/>
                <w:sz w:val="16"/>
                <w:szCs w:val="16"/>
                <w:lang w:val="en-US"/>
              </w:rPr>
              <w:t>Rickard Nilsson</w:t>
            </w:r>
          </w:p>
        </w:tc>
        <w:tc>
          <w:tcPr>
            <w:tcW w:w="2324" w:type="dxa"/>
          </w:tcPr>
          <w:p w:rsidR="002B7CA3" w:rsidRPr="00390598" w:rsidRDefault="001B67F2" w:rsidP="001B67F2">
            <w:pPr>
              <w:rPr>
                <w:rFonts w:ascii="Arial" w:hAnsi="Arial" w:cs="Arial"/>
                <w:sz w:val="16"/>
                <w:szCs w:val="16"/>
                <w:lang w:val="en-US"/>
              </w:rPr>
            </w:pPr>
            <w:proofErr w:type="spellStart"/>
            <w:r>
              <w:rPr>
                <w:rFonts w:ascii="Arial" w:hAnsi="Arial" w:cs="Arial"/>
                <w:sz w:val="16"/>
                <w:szCs w:val="16"/>
                <w:lang w:val="en-US"/>
              </w:rPr>
              <w:t>Europ</w:t>
            </w:r>
            <w:r w:rsidR="002B7CA3" w:rsidRPr="00390598">
              <w:rPr>
                <w:rFonts w:ascii="Arial" w:hAnsi="Arial" w:cs="Arial"/>
                <w:sz w:val="16"/>
                <w:szCs w:val="16"/>
                <w:lang w:val="en-US"/>
              </w:rPr>
              <w:t>ex</w:t>
            </w:r>
            <w:proofErr w:type="spellEnd"/>
          </w:p>
        </w:tc>
      </w:tr>
      <w:tr w:rsidR="001B67F2" w:rsidRPr="00495F45" w:rsidTr="00D065CA">
        <w:tc>
          <w:tcPr>
            <w:tcW w:w="2660" w:type="dxa"/>
          </w:tcPr>
          <w:p w:rsidR="001B67F2" w:rsidRPr="00390598" w:rsidRDefault="001B67F2" w:rsidP="00390598">
            <w:pPr>
              <w:ind w:left="720"/>
              <w:rPr>
                <w:rFonts w:ascii="Arial" w:hAnsi="Arial" w:cs="Arial"/>
                <w:sz w:val="16"/>
                <w:szCs w:val="16"/>
                <w:lang w:val="en-US"/>
              </w:rPr>
            </w:pPr>
            <w:r w:rsidRPr="00390598">
              <w:rPr>
                <w:rFonts w:ascii="Arial" w:hAnsi="Arial" w:cs="Arial"/>
                <w:sz w:val="16"/>
                <w:szCs w:val="16"/>
                <w:lang w:val="en-US"/>
              </w:rPr>
              <w:t xml:space="preserve">Marco </w:t>
            </w:r>
            <w:proofErr w:type="spellStart"/>
            <w:r w:rsidRPr="00390598">
              <w:rPr>
                <w:rFonts w:ascii="Arial" w:hAnsi="Arial" w:cs="Arial"/>
                <w:sz w:val="16"/>
                <w:szCs w:val="16"/>
                <w:lang w:val="en-US"/>
              </w:rPr>
              <w:t>Foresti</w:t>
            </w:r>
            <w:proofErr w:type="spellEnd"/>
          </w:p>
        </w:tc>
        <w:tc>
          <w:tcPr>
            <w:tcW w:w="1946" w:type="dxa"/>
          </w:tcPr>
          <w:p w:rsidR="001B67F2" w:rsidRPr="00390598" w:rsidRDefault="001B67F2" w:rsidP="001B67F2">
            <w:pPr>
              <w:rPr>
                <w:rFonts w:ascii="Arial" w:hAnsi="Arial" w:cs="Arial"/>
                <w:sz w:val="16"/>
                <w:szCs w:val="16"/>
                <w:lang w:val="en-US"/>
              </w:rPr>
            </w:pPr>
            <w:r w:rsidRPr="00390598">
              <w:rPr>
                <w:rFonts w:ascii="Arial" w:hAnsi="Arial" w:cs="Arial"/>
                <w:sz w:val="16"/>
                <w:szCs w:val="16"/>
                <w:lang w:val="en-US"/>
              </w:rPr>
              <w:t>ENTSO-E Secretariat</w:t>
            </w:r>
          </w:p>
        </w:tc>
        <w:tc>
          <w:tcPr>
            <w:tcW w:w="2303" w:type="dxa"/>
          </w:tcPr>
          <w:p w:rsidR="001B67F2" w:rsidRPr="00390598" w:rsidRDefault="001B67F2" w:rsidP="001B67F2">
            <w:pPr>
              <w:ind w:left="720"/>
              <w:rPr>
                <w:rFonts w:ascii="Arial" w:hAnsi="Arial" w:cs="Arial"/>
                <w:sz w:val="16"/>
                <w:szCs w:val="16"/>
                <w:lang w:val="en-US"/>
              </w:rPr>
            </w:pPr>
            <w:r w:rsidRPr="00390598">
              <w:rPr>
                <w:rFonts w:ascii="Arial" w:hAnsi="Arial" w:cs="Arial"/>
                <w:sz w:val="16"/>
                <w:szCs w:val="16"/>
                <w:lang w:val="en-US"/>
              </w:rPr>
              <w:t>Ruud Otter</w:t>
            </w:r>
          </w:p>
        </w:tc>
        <w:tc>
          <w:tcPr>
            <w:tcW w:w="2324" w:type="dxa"/>
          </w:tcPr>
          <w:p w:rsidR="001B67F2" w:rsidRPr="00390598" w:rsidRDefault="001B67F2" w:rsidP="001B67F2">
            <w:pPr>
              <w:rPr>
                <w:rFonts w:ascii="Arial" w:hAnsi="Arial" w:cs="Arial"/>
                <w:sz w:val="16"/>
                <w:szCs w:val="16"/>
                <w:lang w:val="en-US"/>
              </w:rPr>
            </w:pPr>
            <w:r w:rsidRPr="00390598">
              <w:rPr>
                <w:rFonts w:ascii="Arial" w:hAnsi="Arial" w:cs="Arial"/>
                <w:sz w:val="16"/>
                <w:szCs w:val="16"/>
                <w:lang w:val="en-US"/>
              </w:rPr>
              <w:t>Eurelectric</w:t>
            </w:r>
          </w:p>
        </w:tc>
      </w:tr>
      <w:tr w:rsidR="001B67F2" w:rsidRPr="00495F45" w:rsidTr="00D065CA">
        <w:tc>
          <w:tcPr>
            <w:tcW w:w="2660" w:type="dxa"/>
          </w:tcPr>
          <w:p w:rsidR="001B67F2" w:rsidRPr="00390598" w:rsidRDefault="001B67F2" w:rsidP="001B67F2">
            <w:pPr>
              <w:ind w:left="720"/>
              <w:rPr>
                <w:rFonts w:ascii="Arial" w:hAnsi="Arial" w:cs="Arial"/>
                <w:sz w:val="16"/>
                <w:szCs w:val="16"/>
                <w:lang w:val="nl-BE"/>
              </w:rPr>
            </w:pPr>
            <w:r w:rsidRPr="00390598">
              <w:rPr>
                <w:rFonts w:ascii="Arial" w:hAnsi="Arial" w:cs="Arial"/>
                <w:sz w:val="16"/>
                <w:szCs w:val="16"/>
                <w:lang w:val="nl-BE"/>
              </w:rPr>
              <w:t xml:space="preserve">Frank Vandenberghe </w:t>
            </w:r>
          </w:p>
        </w:tc>
        <w:tc>
          <w:tcPr>
            <w:tcW w:w="1946" w:type="dxa"/>
          </w:tcPr>
          <w:p w:rsidR="001B67F2" w:rsidRPr="00390598" w:rsidRDefault="001B67F2" w:rsidP="001B67F2">
            <w:pPr>
              <w:rPr>
                <w:rFonts w:ascii="Arial" w:hAnsi="Arial" w:cs="Arial"/>
                <w:sz w:val="16"/>
                <w:szCs w:val="16"/>
                <w:lang w:val="nl-BE"/>
              </w:rPr>
            </w:pPr>
            <w:proofErr w:type="spellStart"/>
            <w:r>
              <w:rPr>
                <w:rFonts w:ascii="Arial" w:hAnsi="Arial" w:cs="Arial"/>
                <w:sz w:val="16"/>
                <w:szCs w:val="16"/>
                <w:lang w:val="en-US"/>
              </w:rPr>
              <w:t>Elia</w:t>
            </w:r>
            <w:proofErr w:type="spellEnd"/>
            <w:r w:rsidRPr="00390598">
              <w:rPr>
                <w:rFonts w:ascii="Arial" w:hAnsi="Arial" w:cs="Arial"/>
                <w:sz w:val="16"/>
                <w:szCs w:val="16"/>
                <w:lang w:val="en-US"/>
              </w:rPr>
              <w:t>/ENTSO-E</w:t>
            </w:r>
          </w:p>
        </w:tc>
        <w:tc>
          <w:tcPr>
            <w:tcW w:w="2303" w:type="dxa"/>
          </w:tcPr>
          <w:p w:rsidR="001B67F2" w:rsidRPr="00390598" w:rsidRDefault="00192870" w:rsidP="001B67F2">
            <w:pPr>
              <w:ind w:left="720"/>
              <w:rPr>
                <w:rFonts w:ascii="Arial" w:hAnsi="Arial" w:cs="Arial"/>
                <w:sz w:val="16"/>
                <w:szCs w:val="16"/>
                <w:lang w:val="en-US"/>
              </w:rPr>
            </w:pPr>
            <w:proofErr w:type="spellStart"/>
            <w:r>
              <w:rPr>
                <w:rFonts w:ascii="Arial" w:hAnsi="Arial" w:cs="Arial"/>
                <w:sz w:val="16"/>
                <w:szCs w:val="16"/>
                <w:lang w:val="en-US"/>
              </w:rPr>
              <w:t>Almudena</w:t>
            </w:r>
            <w:proofErr w:type="spellEnd"/>
            <w:r>
              <w:rPr>
                <w:rFonts w:ascii="Arial" w:hAnsi="Arial" w:cs="Arial"/>
                <w:sz w:val="16"/>
                <w:szCs w:val="16"/>
                <w:lang w:val="en-US"/>
              </w:rPr>
              <w:t xml:space="preserve"> Huerta</w:t>
            </w:r>
          </w:p>
        </w:tc>
        <w:tc>
          <w:tcPr>
            <w:tcW w:w="2324" w:type="dxa"/>
          </w:tcPr>
          <w:p w:rsidR="001B67F2" w:rsidRPr="00390598" w:rsidRDefault="001B67F2" w:rsidP="001B67F2">
            <w:pPr>
              <w:rPr>
                <w:rFonts w:ascii="Arial" w:hAnsi="Arial" w:cs="Arial"/>
                <w:sz w:val="16"/>
                <w:szCs w:val="16"/>
                <w:lang w:val="en-US"/>
              </w:rPr>
            </w:pPr>
            <w:r>
              <w:rPr>
                <w:rFonts w:ascii="Arial" w:hAnsi="Arial" w:cs="Arial"/>
                <w:sz w:val="16"/>
                <w:szCs w:val="16"/>
                <w:lang w:val="en-US"/>
              </w:rPr>
              <w:t>Eurelectric</w:t>
            </w:r>
          </w:p>
        </w:tc>
      </w:tr>
      <w:tr w:rsidR="001B67F2" w:rsidRPr="00390598" w:rsidTr="00D065CA">
        <w:tc>
          <w:tcPr>
            <w:tcW w:w="2660" w:type="dxa"/>
          </w:tcPr>
          <w:p w:rsidR="001B67F2" w:rsidRPr="00390598" w:rsidRDefault="001B67F2" w:rsidP="001B67F2">
            <w:pPr>
              <w:ind w:left="720"/>
              <w:rPr>
                <w:rFonts w:ascii="Arial" w:hAnsi="Arial" w:cs="Arial"/>
                <w:sz w:val="16"/>
                <w:szCs w:val="16"/>
                <w:lang w:val="nl-BE"/>
              </w:rPr>
            </w:pPr>
            <w:r>
              <w:rPr>
                <w:rFonts w:ascii="Arial" w:hAnsi="Arial" w:cs="Arial"/>
                <w:sz w:val="16"/>
                <w:szCs w:val="16"/>
                <w:lang w:val="nl-BE"/>
              </w:rPr>
              <w:t xml:space="preserve">Hans </w:t>
            </w:r>
            <w:r w:rsidRPr="00390598">
              <w:rPr>
                <w:rFonts w:ascii="Arial" w:hAnsi="Arial" w:cs="Arial"/>
                <w:sz w:val="16"/>
                <w:szCs w:val="16"/>
                <w:lang w:val="nl-BE"/>
              </w:rPr>
              <w:t>Vandenbroucke</w:t>
            </w:r>
          </w:p>
        </w:tc>
        <w:tc>
          <w:tcPr>
            <w:tcW w:w="1946" w:type="dxa"/>
          </w:tcPr>
          <w:p w:rsidR="001B67F2" w:rsidRPr="001B67F2" w:rsidRDefault="001B67F2" w:rsidP="001B67F2">
            <w:pPr>
              <w:rPr>
                <w:rFonts w:ascii="Arial" w:hAnsi="Arial" w:cs="Arial"/>
                <w:sz w:val="16"/>
                <w:szCs w:val="16"/>
                <w:lang w:val="en-US"/>
              </w:rPr>
            </w:pPr>
            <w:proofErr w:type="spellStart"/>
            <w:r>
              <w:rPr>
                <w:rFonts w:ascii="Arial" w:hAnsi="Arial" w:cs="Arial"/>
                <w:sz w:val="16"/>
                <w:szCs w:val="16"/>
                <w:lang w:val="en-US"/>
              </w:rPr>
              <w:t>Elia</w:t>
            </w:r>
            <w:proofErr w:type="spellEnd"/>
            <w:r w:rsidRPr="00390598">
              <w:rPr>
                <w:rFonts w:ascii="Arial" w:hAnsi="Arial" w:cs="Arial"/>
                <w:sz w:val="16"/>
                <w:szCs w:val="16"/>
                <w:lang w:val="en-US"/>
              </w:rPr>
              <w:t>/ENTSO-E</w:t>
            </w:r>
          </w:p>
        </w:tc>
        <w:tc>
          <w:tcPr>
            <w:tcW w:w="2303" w:type="dxa"/>
          </w:tcPr>
          <w:p w:rsidR="001B67F2" w:rsidRDefault="001B67F2" w:rsidP="001B67F2">
            <w:pPr>
              <w:ind w:left="720"/>
              <w:rPr>
                <w:sz w:val="16"/>
                <w:szCs w:val="16"/>
                <w:lang w:val="en-US"/>
              </w:rPr>
            </w:pPr>
            <w:r w:rsidRPr="001B67F2">
              <w:rPr>
                <w:rFonts w:ascii="Arial" w:hAnsi="Arial" w:cs="Arial"/>
                <w:sz w:val="16"/>
                <w:szCs w:val="16"/>
                <w:lang w:val="en-US"/>
              </w:rPr>
              <w:t xml:space="preserve">Paul </w:t>
            </w:r>
            <w:proofErr w:type="spellStart"/>
            <w:r w:rsidRPr="001B67F2">
              <w:rPr>
                <w:rFonts w:ascii="Arial" w:hAnsi="Arial" w:cs="Arial"/>
                <w:sz w:val="16"/>
                <w:szCs w:val="16"/>
                <w:lang w:val="en-US"/>
              </w:rPr>
              <w:t>Wilczek</w:t>
            </w:r>
            <w:proofErr w:type="spellEnd"/>
          </w:p>
        </w:tc>
        <w:tc>
          <w:tcPr>
            <w:tcW w:w="2324" w:type="dxa"/>
          </w:tcPr>
          <w:p w:rsidR="001B67F2" w:rsidRPr="001B67F2" w:rsidRDefault="001B67F2" w:rsidP="001B67F2">
            <w:pPr>
              <w:rPr>
                <w:rFonts w:ascii="Arial" w:hAnsi="Arial" w:cs="Arial"/>
                <w:sz w:val="16"/>
                <w:szCs w:val="16"/>
                <w:lang w:val="en-US"/>
              </w:rPr>
            </w:pPr>
            <w:r w:rsidRPr="001B67F2">
              <w:rPr>
                <w:rFonts w:ascii="Arial" w:hAnsi="Arial" w:cs="Arial"/>
                <w:sz w:val="16"/>
                <w:szCs w:val="16"/>
                <w:lang w:val="en-US"/>
              </w:rPr>
              <w:t>EWEA</w:t>
            </w:r>
          </w:p>
        </w:tc>
      </w:tr>
      <w:tr w:rsidR="001B67F2" w:rsidRPr="00390598" w:rsidTr="00D065CA">
        <w:tc>
          <w:tcPr>
            <w:tcW w:w="2660" w:type="dxa"/>
          </w:tcPr>
          <w:p w:rsidR="001B67F2" w:rsidRPr="00390598" w:rsidRDefault="001B67F2" w:rsidP="001B67F2">
            <w:pPr>
              <w:ind w:left="720"/>
              <w:rPr>
                <w:rFonts w:ascii="Arial" w:hAnsi="Arial" w:cs="Arial"/>
                <w:sz w:val="16"/>
                <w:szCs w:val="16"/>
                <w:lang w:val="en-US"/>
              </w:rPr>
            </w:pPr>
            <w:r w:rsidRPr="00390598">
              <w:rPr>
                <w:rFonts w:ascii="Arial" w:hAnsi="Arial" w:cs="Arial"/>
                <w:sz w:val="16"/>
                <w:szCs w:val="16"/>
                <w:lang w:val="en-US"/>
              </w:rPr>
              <w:t xml:space="preserve">Martin </w:t>
            </w:r>
            <w:proofErr w:type="spellStart"/>
            <w:r w:rsidRPr="00390598">
              <w:rPr>
                <w:rFonts w:ascii="Arial" w:hAnsi="Arial" w:cs="Arial"/>
                <w:sz w:val="16"/>
                <w:szCs w:val="16"/>
                <w:lang w:val="en-US"/>
              </w:rPr>
              <w:t>Povh</w:t>
            </w:r>
            <w:proofErr w:type="spellEnd"/>
          </w:p>
        </w:tc>
        <w:tc>
          <w:tcPr>
            <w:tcW w:w="1946" w:type="dxa"/>
          </w:tcPr>
          <w:p w:rsidR="001B67F2" w:rsidRPr="00390598" w:rsidRDefault="001B67F2" w:rsidP="001B67F2">
            <w:pPr>
              <w:rPr>
                <w:rFonts w:ascii="Arial" w:hAnsi="Arial" w:cs="Arial"/>
                <w:sz w:val="16"/>
                <w:szCs w:val="16"/>
                <w:lang w:val="en-US"/>
              </w:rPr>
            </w:pPr>
            <w:r w:rsidRPr="00390598">
              <w:rPr>
                <w:rFonts w:ascii="Arial" w:hAnsi="Arial" w:cs="Arial"/>
                <w:sz w:val="16"/>
                <w:szCs w:val="16"/>
                <w:lang w:val="en-US"/>
              </w:rPr>
              <w:t>ACER</w:t>
            </w:r>
          </w:p>
        </w:tc>
        <w:tc>
          <w:tcPr>
            <w:tcW w:w="2303" w:type="dxa"/>
          </w:tcPr>
          <w:p w:rsidR="001B67F2" w:rsidRPr="00390598" w:rsidRDefault="00CD662D" w:rsidP="0065605B">
            <w:pPr>
              <w:ind w:left="720"/>
              <w:rPr>
                <w:rFonts w:ascii="Arial" w:hAnsi="Arial" w:cs="Arial"/>
                <w:sz w:val="16"/>
                <w:szCs w:val="16"/>
                <w:lang w:val="nl-BE"/>
              </w:rPr>
            </w:pPr>
            <w:r w:rsidRPr="001B67F2">
              <w:rPr>
                <w:rFonts w:ascii="Arial" w:hAnsi="Arial" w:cs="Arial"/>
                <w:sz w:val="16"/>
                <w:szCs w:val="16"/>
                <w:lang w:val="en-US"/>
              </w:rPr>
              <w:t xml:space="preserve">Paul </w:t>
            </w:r>
            <w:proofErr w:type="spellStart"/>
            <w:r w:rsidRPr="001B67F2">
              <w:rPr>
                <w:rFonts w:ascii="Arial" w:hAnsi="Arial" w:cs="Arial"/>
                <w:sz w:val="16"/>
                <w:szCs w:val="16"/>
                <w:lang w:val="en-US"/>
              </w:rPr>
              <w:t>Kreutzkamp</w:t>
            </w:r>
            <w:proofErr w:type="spellEnd"/>
          </w:p>
        </w:tc>
        <w:tc>
          <w:tcPr>
            <w:tcW w:w="2324" w:type="dxa"/>
          </w:tcPr>
          <w:p w:rsidR="001B67F2" w:rsidRPr="001B67F2" w:rsidRDefault="001B67F2" w:rsidP="001B67F2">
            <w:pPr>
              <w:rPr>
                <w:rFonts w:ascii="Arial" w:hAnsi="Arial" w:cs="Arial"/>
                <w:sz w:val="16"/>
                <w:szCs w:val="16"/>
                <w:lang w:val="en-US"/>
              </w:rPr>
            </w:pPr>
            <w:r w:rsidRPr="001B67F2">
              <w:rPr>
                <w:rFonts w:ascii="Arial" w:hAnsi="Arial" w:cs="Arial"/>
                <w:sz w:val="16"/>
                <w:szCs w:val="16"/>
                <w:lang w:val="en-US"/>
              </w:rPr>
              <w:t>EWEA</w:t>
            </w:r>
          </w:p>
        </w:tc>
      </w:tr>
      <w:tr w:rsidR="001B67F2" w:rsidRPr="00495F45" w:rsidTr="00D065CA">
        <w:tc>
          <w:tcPr>
            <w:tcW w:w="2660" w:type="dxa"/>
          </w:tcPr>
          <w:p w:rsidR="001B67F2" w:rsidRPr="00390598" w:rsidRDefault="001B67F2" w:rsidP="00837BC6">
            <w:pPr>
              <w:ind w:left="720"/>
              <w:rPr>
                <w:rFonts w:ascii="Arial" w:hAnsi="Arial" w:cs="Arial"/>
                <w:sz w:val="16"/>
                <w:szCs w:val="16"/>
                <w:lang w:val="en-US"/>
              </w:rPr>
            </w:pPr>
            <w:r w:rsidRPr="00390598">
              <w:rPr>
                <w:rFonts w:ascii="Arial" w:hAnsi="Arial" w:cs="Arial"/>
                <w:sz w:val="16"/>
                <w:szCs w:val="16"/>
                <w:lang w:val="en-US"/>
              </w:rPr>
              <w:t xml:space="preserve">Alain </w:t>
            </w:r>
            <w:proofErr w:type="spellStart"/>
            <w:r w:rsidRPr="00390598">
              <w:rPr>
                <w:rFonts w:ascii="Arial" w:hAnsi="Arial" w:cs="Arial"/>
                <w:sz w:val="16"/>
                <w:szCs w:val="16"/>
                <w:lang w:val="en-US"/>
              </w:rPr>
              <w:t>Marien</w:t>
            </w:r>
            <w:proofErr w:type="spellEnd"/>
          </w:p>
        </w:tc>
        <w:tc>
          <w:tcPr>
            <w:tcW w:w="1946" w:type="dxa"/>
          </w:tcPr>
          <w:p w:rsidR="001B67F2" w:rsidRPr="00390598" w:rsidRDefault="00A364A1" w:rsidP="001B67F2">
            <w:pPr>
              <w:rPr>
                <w:rFonts w:ascii="Arial" w:hAnsi="Arial" w:cs="Arial"/>
                <w:sz w:val="16"/>
                <w:szCs w:val="16"/>
                <w:lang w:val="en-US"/>
              </w:rPr>
            </w:pPr>
            <w:r>
              <w:rPr>
                <w:rFonts w:ascii="Arial" w:hAnsi="Arial" w:cs="Arial"/>
                <w:sz w:val="16"/>
                <w:szCs w:val="16"/>
                <w:lang w:val="en-US"/>
              </w:rPr>
              <w:t>CEER</w:t>
            </w:r>
          </w:p>
        </w:tc>
        <w:tc>
          <w:tcPr>
            <w:tcW w:w="2303" w:type="dxa"/>
          </w:tcPr>
          <w:p w:rsidR="001B67F2" w:rsidRPr="00390598" w:rsidRDefault="001B67F2" w:rsidP="001B67F2">
            <w:pPr>
              <w:ind w:left="720"/>
              <w:rPr>
                <w:rFonts w:ascii="Arial" w:hAnsi="Arial" w:cs="Arial"/>
                <w:sz w:val="16"/>
                <w:szCs w:val="16"/>
                <w:lang w:val="en-US"/>
              </w:rPr>
            </w:pPr>
          </w:p>
        </w:tc>
        <w:tc>
          <w:tcPr>
            <w:tcW w:w="2324" w:type="dxa"/>
          </w:tcPr>
          <w:p w:rsidR="001B67F2" w:rsidRPr="00390598" w:rsidRDefault="001B67F2" w:rsidP="001B67F2">
            <w:pPr>
              <w:rPr>
                <w:rFonts w:ascii="Arial" w:hAnsi="Arial" w:cs="Arial"/>
                <w:sz w:val="16"/>
                <w:szCs w:val="16"/>
                <w:lang w:val="en-US"/>
              </w:rPr>
            </w:pPr>
          </w:p>
        </w:tc>
      </w:tr>
    </w:tbl>
    <w:p w:rsidR="001D5266" w:rsidRPr="00E26AFC" w:rsidRDefault="001D5266" w:rsidP="00A067AD">
      <w:pPr>
        <w:rPr>
          <w:rFonts w:ascii="Arial" w:hAnsi="Arial" w:cs="Arial"/>
          <w:b/>
          <w:lang w:val="en-US"/>
        </w:rPr>
      </w:pPr>
    </w:p>
    <w:p w:rsidR="001D5266" w:rsidRPr="00E26AFC" w:rsidRDefault="001D5266" w:rsidP="00FD11DA">
      <w:pPr>
        <w:pStyle w:val="ListParagraph"/>
        <w:numPr>
          <w:ilvl w:val="0"/>
          <w:numId w:val="2"/>
        </w:numPr>
        <w:rPr>
          <w:rFonts w:ascii="Arial" w:hAnsi="Arial" w:cs="Arial"/>
          <w:b/>
          <w:lang w:val="en-US"/>
        </w:rPr>
      </w:pPr>
      <w:r>
        <w:rPr>
          <w:rFonts w:ascii="Arial" w:hAnsi="Arial" w:cs="Arial"/>
          <w:b/>
          <w:lang w:val="en-US"/>
        </w:rPr>
        <w:t>Welcome and m</w:t>
      </w:r>
      <w:r w:rsidRPr="00E26AFC">
        <w:rPr>
          <w:rFonts w:ascii="Arial" w:hAnsi="Arial" w:cs="Arial"/>
          <w:b/>
          <w:lang w:val="en-US"/>
        </w:rPr>
        <w:t>inutes</w:t>
      </w:r>
      <w:r>
        <w:rPr>
          <w:rFonts w:ascii="Arial" w:hAnsi="Arial" w:cs="Arial"/>
          <w:b/>
          <w:lang w:val="en-US"/>
        </w:rPr>
        <w:t xml:space="preserve"> of the last workshop</w:t>
      </w:r>
    </w:p>
    <w:p w:rsidR="00023B3A" w:rsidRDefault="005B511B" w:rsidP="007276B3">
      <w:pPr>
        <w:jc w:val="both"/>
        <w:rPr>
          <w:rFonts w:ascii="Arial" w:hAnsi="Arial" w:cs="Arial"/>
          <w:lang w:val="en-US"/>
        </w:rPr>
      </w:pPr>
      <w:r>
        <w:rPr>
          <w:rFonts w:ascii="Arial" w:hAnsi="Arial" w:cs="Arial"/>
          <w:lang w:val="en-US"/>
        </w:rPr>
        <w:t>Antonio</w:t>
      </w:r>
      <w:r w:rsidR="00EA7801">
        <w:rPr>
          <w:rFonts w:ascii="Arial" w:hAnsi="Arial" w:cs="Arial"/>
          <w:lang w:val="en-US"/>
        </w:rPr>
        <w:t xml:space="preserve"> welcomes the part</w:t>
      </w:r>
      <w:r w:rsidR="00BE6754">
        <w:rPr>
          <w:rFonts w:ascii="Arial" w:hAnsi="Arial" w:cs="Arial"/>
          <w:lang w:val="en-US"/>
        </w:rPr>
        <w:t>icipants on behalf of Christian</w:t>
      </w:r>
      <w:r w:rsidR="00E3593B">
        <w:rPr>
          <w:rFonts w:ascii="Arial" w:hAnsi="Arial" w:cs="Arial"/>
          <w:lang w:val="en-US"/>
        </w:rPr>
        <w:t xml:space="preserve"> Dobelke</w:t>
      </w:r>
      <w:r w:rsidR="00BE6754">
        <w:rPr>
          <w:rFonts w:ascii="Arial" w:hAnsi="Arial" w:cs="Arial"/>
          <w:lang w:val="en-US"/>
        </w:rPr>
        <w:t xml:space="preserve">. </w:t>
      </w:r>
      <w:r w:rsidR="00E3593B">
        <w:rPr>
          <w:rFonts w:ascii="Arial" w:hAnsi="Arial" w:cs="Arial"/>
          <w:lang w:val="en-US"/>
        </w:rPr>
        <w:t>He asks them to perform a tour de table.</w:t>
      </w:r>
    </w:p>
    <w:p w:rsidR="00EA7801" w:rsidRDefault="00EA7801" w:rsidP="007276B3">
      <w:pPr>
        <w:jc w:val="both"/>
        <w:rPr>
          <w:rFonts w:ascii="Arial" w:hAnsi="Arial" w:cs="Arial"/>
          <w:lang w:val="en-US"/>
        </w:rPr>
      </w:pPr>
      <w:r>
        <w:rPr>
          <w:rFonts w:ascii="Arial" w:hAnsi="Arial" w:cs="Arial"/>
          <w:lang w:val="en-US"/>
        </w:rPr>
        <w:t>The minutes of the last meeting of E</w:t>
      </w:r>
      <w:r w:rsidR="00FB0BB4">
        <w:rPr>
          <w:rFonts w:ascii="Arial" w:hAnsi="Arial" w:cs="Arial"/>
          <w:lang w:val="en-US"/>
        </w:rPr>
        <w:t>NTSOE S</w:t>
      </w:r>
      <w:r w:rsidR="001B67F2">
        <w:rPr>
          <w:rFonts w:ascii="Arial" w:hAnsi="Arial" w:cs="Arial"/>
          <w:lang w:val="en-US"/>
        </w:rPr>
        <w:t>takeholder group for CA</w:t>
      </w:r>
      <w:r>
        <w:rPr>
          <w:rFonts w:ascii="Arial" w:hAnsi="Arial" w:cs="Arial"/>
          <w:lang w:val="en-US"/>
        </w:rPr>
        <w:t xml:space="preserve">CM Network Code on </w:t>
      </w:r>
      <w:r w:rsidR="003B54AE">
        <w:rPr>
          <w:rFonts w:ascii="Arial" w:hAnsi="Arial" w:cs="Arial"/>
          <w:lang w:val="en-US"/>
        </w:rPr>
        <w:t>8 December</w:t>
      </w:r>
      <w:r>
        <w:rPr>
          <w:rFonts w:ascii="Arial" w:hAnsi="Arial" w:cs="Arial"/>
          <w:lang w:val="en-US"/>
        </w:rPr>
        <w:t xml:space="preserve"> 2011 are approved</w:t>
      </w:r>
      <w:r w:rsidR="001B67F2">
        <w:rPr>
          <w:rFonts w:ascii="Arial" w:hAnsi="Arial" w:cs="Arial"/>
          <w:lang w:val="en-US"/>
        </w:rPr>
        <w:t xml:space="preserve"> with</w:t>
      </w:r>
      <w:r w:rsidR="00FB0BB4">
        <w:rPr>
          <w:rFonts w:ascii="Arial" w:hAnsi="Arial" w:cs="Arial"/>
          <w:lang w:val="en-US"/>
        </w:rPr>
        <w:t xml:space="preserve"> already received comments from </w:t>
      </w:r>
      <w:proofErr w:type="spellStart"/>
      <w:r w:rsidR="001B67F2">
        <w:rPr>
          <w:rFonts w:ascii="Arial" w:hAnsi="Arial" w:cs="Arial"/>
          <w:lang w:val="en-US"/>
        </w:rPr>
        <w:t>Europex</w:t>
      </w:r>
      <w:proofErr w:type="spellEnd"/>
      <w:r>
        <w:rPr>
          <w:rFonts w:ascii="Arial" w:hAnsi="Arial" w:cs="Arial"/>
          <w:lang w:val="en-US"/>
        </w:rPr>
        <w:t>.</w:t>
      </w:r>
    </w:p>
    <w:p w:rsidR="00CD662D" w:rsidRDefault="00CD662D" w:rsidP="007276B3">
      <w:pPr>
        <w:jc w:val="both"/>
        <w:rPr>
          <w:rFonts w:ascii="Arial" w:hAnsi="Arial" w:cs="Arial"/>
          <w:lang w:val="en-US"/>
        </w:rPr>
      </w:pPr>
    </w:p>
    <w:p w:rsidR="005B511B" w:rsidRPr="005B511B" w:rsidRDefault="005B511B" w:rsidP="00FD11DA">
      <w:pPr>
        <w:pStyle w:val="ListParagraph"/>
        <w:numPr>
          <w:ilvl w:val="0"/>
          <w:numId w:val="2"/>
        </w:numPr>
        <w:rPr>
          <w:rFonts w:ascii="Arial" w:hAnsi="Arial" w:cs="Arial"/>
          <w:b/>
          <w:lang w:val="en-US"/>
        </w:rPr>
      </w:pPr>
      <w:r w:rsidRPr="005B511B">
        <w:rPr>
          <w:rFonts w:ascii="Arial" w:hAnsi="Arial" w:cs="Arial"/>
          <w:b/>
          <w:lang w:val="en-US"/>
        </w:rPr>
        <w:t xml:space="preserve">Presentation of the </w:t>
      </w:r>
      <w:r w:rsidR="0037392B">
        <w:rPr>
          <w:rFonts w:ascii="Arial" w:hAnsi="Arial" w:cs="Arial"/>
          <w:b/>
          <w:lang w:val="en-US"/>
        </w:rPr>
        <w:t>ID</w:t>
      </w:r>
      <w:r w:rsidRPr="005B511B">
        <w:rPr>
          <w:rFonts w:ascii="Arial" w:hAnsi="Arial" w:cs="Arial"/>
          <w:b/>
          <w:lang w:val="en-US"/>
        </w:rPr>
        <w:t xml:space="preserve"> part of the CA&amp;CM Network Code</w:t>
      </w:r>
    </w:p>
    <w:p w:rsidR="00991436" w:rsidRDefault="00192870" w:rsidP="007276B3">
      <w:pPr>
        <w:jc w:val="both"/>
        <w:rPr>
          <w:rFonts w:ascii="Arial" w:hAnsi="Arial" w:cs="Arial"/>
        </w:rPr>
      </w:pPr>
      <w:r>
        <w:rPr>
          <w:rFonts w:ascii="Arial" w:hAnsi="Arial" w:cs="Arial"/>
          <w:lang w:val="en-US"/>
        </w:rPr>
        <w:t>ENTSOE</w:t>
      </w:r>
      <w:r w:rsidR="001B67F2">
        <w:rPr>
          <w:rFonts w:ascii="Arial" w:hAnsi="Arial" w:cs="Arial"/>
        </w:rPr>
        <w:t xml:space="preserve"> presents the structure of the ID part of the code:</w:t>
      </w:r>
    </w:p>
    <w:p w:rsidR="00991436" w:rsidRPr="00991436" w:rsidRDefault="00991436" w:rsidP="00991436">
      <w:pPr>
        <w:pStyle w:val="ListParagraph"/>
        <w:numPr>
          <w:ilvl w:val="0"/>
          <w:numId w:val="5"/>
        </w:numPr>
        <w:jc w:val="both"/>
        <w:rPr>
          <w:rFonts w:ascii="Arial" w:hAnsi="Arial" w:cs="Arial"/>
        </w:rPr>
      </w:pPr>
      <w:r w:rsidRPr="00991436">
        <w:rPr>
          <w:rFonts w:ascii="Arial" w:hAnsi="Arial" w:cs="Arial"/>
        </w:rPr>
        <w:t>Architecture, roles and responsibilities (art 66-68)</w:t>
      </w:r>
    </w:p>
    <w:p w:rsidR="00991436" w:rsidRPr="00991436" w:rsidRDefault="00991436" w:rsidP="00991436">
      <w:pPr>
        <w:pStyle w:val="ListParagraph"/>
        <w:numPr>
          <w:ilvl w:val="0"/>
          <w:numId w:val="5"/>
        </w:numPr>
        <w:jc w:val="both"/>
        <w:rPr>
          <w:rFonts w:ascii="Arial" w:hAnsi="Arial" w:cs="Arial"/>
        </w:rPr>
      </w:pPr>
      <w:r w:rsidRPr="00991436">
        <w:rPr>
          <w:rFonts w:ascii="Arial" w:hAnsi="Arial" w:cs="Arial"/>
        </w:rPr>
        <w:t>Objectives, functionality and outputs from the intraday market (art 69-74)</w:t>
      </w:r>
    </w:p>
    <w:p w:rsidR="00991436" w:rsidRPr="00991436" w:rsidRDefault="00991436" w:rsidP="00991436">
      <w:pPr>
        <w:pStyle w:val="ListParagraph"/>
        <w:numPr>
          <w:ilvl w:val="0"/>
          <w:numId w:val="5"/>
        </w:numPr>
        <w:jc w:val="both"/>
        <w:rPr>
          <w:rFonts w:ascii="Arial" w:hAnsi="Arial" w:cs="Arial"/>
        </w:rPr>
      </w:pPr>
      <w:r w:rsidRPr="00991436">
        <w:rPr>
          <w:rFonts w:ascii="Arial" w:hAnsi="Arial" w:cs="Arial"/>
        </w:rPr>
        <w:t>The intraday market process (art 75-812)</w:t>
      </w:r>
    </w:p>
    <w:p w:rsidR="00991436" w:rsidRPr="00991436" w:rsidRDefault="00991436" w:rsidP="00991436">
      <w:pPr>
        <w:pStyle w:val="ListParagraph"/>
        <w:numPr>
          <w:ilvl w:val="0"/>
          <w:numId w:val="5"/>
        </w:numPr>
        <w:jc w:val="both"/>
        <w:rPr>
          <w:rFonts w:ascii="Arial" w:hAnsi="Arial" w:cs="Arial"/>
        </w:rPr>
      </w:pPr>
      <w:r w:rsidRPr="00991436">
        <w:rPr>
          <w:rFonts w:ascii="Arial" w:hAnsi="Arial" w:cs="Arial"/>
        </w:rPr>
        <w:t>Transitional agreements (art 98-103)</w:t>
      </w:r>
    </w:p>
    <w:p w:rsidR="00991436" w:rsidRPr="00991436" w:rsidRDefault="00991436" w:rsidP="00991436">
      <w:pPr>
        <w:pStyle w:val="ListParagraph"/>
        <w:numPr>
          <w:ilvl w:val="0"/>
          <w:numId w:val="5"/>
        </w:numPr>
        <w:jc w:val="both"/>
        <w:rPr>
          <w:rFonts w:ascii="Arial" w:hAnsi="Arial" w:cs="Arial"/>
        </w:rPr>
      </w:pPr>
      <w:r w:rsidRPr="00991436">
        <w:rPr>
          <w:rFonts w:ascii="Arial" w:hAnsi="Arial" w:cs="Arial"/>
        </w:rPr>
        <w:lastRenderedPageBreak/>
        <w:t>Clearing settlement and scheduling (not included yet; will be a common section with day-ahead</w:t>
      </w:r>
    </w:p>
    <w:p w:rsidR="00991436" w:rsidRDefault="008670D6" w:rsidP="007276B3">
      <w:pPr>
        <w:jc w:val="both"/>
        <w:rPr>
          <w:rFonts w:ascii="Arial" w:hAnsi="Arial" w:cs="Arial"/>
        </w:rPr>
      </w:pPr>
      <w:r>
        <w:rPr>
          <w:rFonts w:ascii="Arial" w:hAnsi="Arial" w:cs="Arial"/>
        </w:rPr>
        <w:t>The intraday electricity market shall involve the following functions: System Operator, Market Operator, Mark</w:t>
      </w:r>
      <w:r w:rsidR="00192870">
        <w:rPr>
          <w:rFonts w:ascii="Arial" w:hAnsi="Arial" w:cs="Arial"/>
        </w:rPr>
        <w:t>et Coupling Operator, Capacity C</w:t>
      </w:r>
      <w:r>
        <w:rPr>
          <w:rFonts w:ascii="Arial" w:hAnsi="Arial" w:cs="Arial"/>
        </w:rPr>
        <w:t>oordinator, Commercial Exchange Calcu</w:t>
      </w:r>
      <w:r w:rsidR="00192870">
        <w:rPr>
          <w:rFonts w:ascii="Arial" w:hAnsi="Arial" w:cs="Arial"/>
        </w:rPr>
        <w:t>lator, Central Counter Party and Shipping Agent.</w:t>
      </w:r>
    </w:p>
    <w:p w:rsidR="00597123" w:rsidRDefault="008670D6" w:rsidP="007276B3">
      <w:pPr>
        <w:jc w:val="both"/>
        <w:rPr>
          <w:rFonts w:ascii="Arial" w:hAnsi="Arial" w:cs="Arial"/>
        </w:rPr>
      </w:pPr>
      <w:r>
        <w:rPr>
          <w:rFonts w:ascii="Arial" w:hAnsi="Arial" w:cs="Arial"/>
        </w:rPr>
        <w:t xml:space="preserve">The entities will be: Power Exchanges, TSOs, </w:t>
      </w:r>
      <w:r w:rsidR="00A3332F">
        <w:rPr>
          <w:rFonts w:ascii="Arial" w:hAnsi="Arial" w:cs="Arial"/>
        </w:rPr>
        <w:t>and Market</w:t>
      </w:r>
      <w:r>
        <w:rPr>
          <w:rFonts w:ascii="Arial" w:hAnsi="Arial" w:cs="Arial"/>
        </w:rPr>
        <w:t xml:space="preserve"> Participants. </w:t>
      </w:r>
      <w:r w:rsidR="00A3332F">
        <w:rPr>
          <w:rFonts w:ascii="Arial" w:hAnsi="Arial" w:cs="Arial"/>
        </w:rPr>
        <w:t>The allocation of functions b</w:t>
      </w:r>
      <w:r w:rsidR="00101C0A">
        <w:rPr>
          <w:rFonts w:ascii="Arial" w:hAnsi="Arial" w:cs="Arial"/>
        </w:rPr>
        <w:t xml:space="preserve">etween </w:t>
      </w:r>
      <w:r w:rsidR="001B67F2">
        <w:rPr>
          <w:rFonts w:ascii="Arial" w:hAnsi="Arial" w:cs="Arial"/>
        </w:rPr>
        <w:t>P</w:t>
      </w:r>
      <w:r w:rsidR="00101C0A">
        <w:rPr>
          <w:rFonts w:ascii="Arial" w:hAnsi="Arial" w:cs="Arial"/>
        </w:rPr>
        <w:t>Xs and TSOs remains partially</w:t>
      </w:r>
      <w:r w:rsidR="00A3332F">
        <w:rPr>
          <w:rFonts w:ascii="Arial" w:hAnsi="Arial" w:cs="Arial"/>
        </w:rPr>
        <w:t xml:space="preserve"> open and might be impacted by the Governance Guideline.</w:t>
      </w:r>
    </w:p>
    <w:p w:rsidR="00CD662D" w:rsidRDefault="00CD662D" w:rsidP="007276B3">
      <w:pPr>
        <w:jc w:val="both"/>
        <w:rPr>
          <w:rFonts w:ascii="Arial" w:hAnsi="Arial" w:cs="Arial"/>
        </w:rPr>
      </w:pPr>
    </w:p>
    <w:p w:rsidR="005B511B" w:rsidRDefault="005B511B" w:rsidP="00FD11DA">
      <w:pPr>
        <w:pStyle w:val="ListParagraph"/>
        <w:numPr>
          <w:ilvl w:val="0"/>
          <w:numId w:val="2"/>
        </w:numPr>
        <w:rPr>
          <w:rFonts w:ascii="Arial" w:hAnsi="Arial" w:cs="Arial"/>
          <w:b/>
          <w:lang w:val="en-US"/>
        </w:rPr>
      </w:pPr>
      <w:r w:rsidRPr="005B511B">
        <w:rPr>
          <w:rFonts w:ascii="Arial" w:hAnsi="Arial" w:cs="Arial"/>
          <w:b/>
          <w:lang w:val="en-US"/>
        </w:rPr>
        <w:t xml:space="preserve">Stakeholders’ main comments on the </w:t>
      </w:r>
      <w:r w:rsidR="0037392B">
        <w:rPr>
          <w:rFonts w:ascii="Arial" w:hAnsi="Arial" w:cs="Arial"/>
          <w:b/>
          <w:lang w:val="en-US"/>
        </w:rPr>
        <w:t>ID</w:t>
      </w:r>
      <w:r w:rsidRPr="005B511B">
        <w:rPr>
          <w:rFonts w:ascii="Arial" w:hAnsi="Arial" w:cs="Arial"/>
          <w:b/>
          <w:lang w:val="en-US"/>
        </w:rPr>
        <w:t xml:space="preserve"> part</w:t>
      </w:r>
    </w:p>
    <w:p w:rsidR="0037392B" w:rsidRDefault="00101C0A" w:rsidP="0037392B">
      <w:pPr>
        <w:rPr>
          <w:rFonts w:ascii="Arial" w:hAnsi="Arial" w:cs="Arial"/>
          <w:lang w:val="en-US"/>
        </w:rPr>
      </w:pPr>
      <w:r>
        <w:rPr>
          <w:rFonts w:ascii="Arial" w:hAnsi="Arial" w:cs="Arial"/>
          <w:lang w:val="en-US"/>
        </w:rPr>
        <w:t>Eurelectric</w:t>
      </w:r>
      <w:r w:rsidR="00E65604">
        <w:rPr>
          <w:rFonts w:ascii="Arial" w:hAnsi="Arial" w:cs="Arial"/>
          <w:lang w:val="en-US"/>
        </w:rPr>
        <w:t xml:space="preserve"> says that the main issues are:</w:t>
      </w:r>
    </w:p>
    <w:p w:rsidR="00E65604" w:rsidRPr="00E65604" w:rsidRDefault="00E65604" w:rsidP="00E65604">
      <w:pPr>
        <w:pStyle w:val="ListParagraph"/>
        <w:numPr>
          <w:ilvl w:val="0"/>
          <w:numId w:val="5"/>
        </w:numPr>
        <w:jc w:val="both"/>
        <w:rPr>
          <w:rFonts w:ascii="Arial" w:hAnsi="Arial" w:cs="Arial"/>
        </w:rPr>
      </w:pPr>
      <w:r w:rsidRPr="00E65604">
        <w:rPr>
          <w:rFonts w:ascii="Arial" w:hAnsi="Arial" w:cs="Arial"/>
        </w:rPr>
        <w:t>Unclear definitions and interaction of functions</w:t>
      </w:r>
    </w:p>
    <w:p w:rsidR="00E65604" w:rsidRDefault="00E65604" w:rsidP="00E65604">
      <w:pPr>
        <w:pStyle w:val="ListParagraph"/>
        <w:numPr>
          <w:ilvl w:val="0"/>
          <w:numId w:val="5"/>
        </w:numPr>
        <w:jc w:val="both"/>
        <w:rPr>
          <w:rFonts w:ascii="Arial" w:hAnsi="Arial" w:cs="Arial"/>
        </w:rPr>
      </w:pPr>
      <w:r w:rsidRPr="00E65604">
        <w:rPr>
          <w:rFonts w:ascii="Arial" w:hAnsi="Arial" w:cs="Arial"/>
        </w:rPr>
        <w:t>Where is the interim solution mentioned in the FG?</w:t>
      </w:r>
    </w:p>
    <w:p w:rsidR="00E65604" w:rsidRDefault="00E65604" w:rsidP="00E65604">
      <w:pPr>
        <w:jc w:val="both"/>
        <w:rPr>
          <w:rFonts w:ascii="Arial" w:hAnsi="Arial" w:cs="Arial"/>
        </w:rPr>
      </w:pPr>
      <w:r>
        <w:rPr>
          <w:rFonts w:ascii="Arial" w:hAnsi="Arial" w:cs="Arial"/>
        </w:rPr>
        <w:t xml:space="preserve">More clarification is needed </w:t>
      </w:r>
      <w:r w:rsidR="005C4968">
        <w:rPr>
          <w:rFonts w:ascii="Arial" w:hAnsi="Arial" w:cs="Arial"/>
        </w:rPr>
        <w:t xml:space="preserve">on the </w:t>
      </w:r>
      <w:r>
        <w:rPr>
          <w:rFonts w:ascii="Arial" w:hAnsi="Arial" w:cs="Arial"/>
        </w:rPr>
        <w:t>matching algorithm, pricing of intraday ca</w:t>
      </w:r>
      <w:r w:rsidR="00D26CC4">
        <w:rPr>
          <w:rFonts w:ascii="Arial" w:hAnsi="Arial" w:cs="Arial"/>
        </w:rPr>
        <w:t>pacity.</w:t>
      </w:r>
      <w:r>
        <w:rPr>
          <w:rFonts w:ascii="Arial" w:hAnsi="Arial" w:cs="Arial"/>
        </w:rPr>
        <w:t xml:space="preserve"> </w:t>
      </w:r>
      <w:r w:rsidR="005C4968">
        <w:rPr>
          <w:rFonts w:ascii="Arial" w:hAnsi="Arial" w:cs="Arial"/>
        </w:rPr>
        <w:t xml:space="preserve">Need </w:t>
      </w:r>
      <w:r>
        <w:rPr>
          <w:rFonts w:ascii="Arial" w:hAnsi="Arial" w:cs="Arial"/>
        </w:rPr>
        <w:t xml:space="preserve">to </w:t>
      </w:r>
      <w:r w:rsidR="00D26CC4">
        <w:rPr>
          <w:rFonts w:ascii="Arial" w:hAnsi="Arial" w:cs="Arial"/>
        </w:rPr>
        <w:t xml:space="preserve">know </w:t>
      </w:r>
      <w:r>
        <w:rPr>
          <w:rFonts w:ascii="Arial" w:hAnsi="Arial" w:cs="Arial"/>
        </w:rPr>
        <w:t>how the capacity is updated and put at disposal to market parties.</w:t>
      </w:r>
    </w:p>
    <w:p w:rsidR="00E65604" w:rsidRDefault="00D26CC4" w:rsidP="00E65604">
      <w:pPr>
        <w:jc w:val="both"/>
        <w:rPr>
          <w:rFonts w:ascii="Arial" w:hAnsi="Arial" w:cs="Arial"/>
        </w:rPr>
      </w:pPr>
      <w:r>
        <w:rPr>
          <w:rFonts w:ascii="Arial" w:hAnsi="Arial" w:cs="Arial"/>
        </w:rPr>
        <w:t>Eurelectric asks for a more de</w:t>
      </w:r>
      <w:r w:rsidR="005C4968">
        <w:rPr>
          <w:rFonts w:ascii="Arial" w:hAnsi="Arial" w:cs="Arial"/>
        </w:rPr>
        <w:t>tailed de</w:t>
      </w:r>
      <w:r>
        <w:rPr>
          <w:rFonts w:ascii="Arial" w:hAnsi="Arial" w:cs="Arial"/>
        </w:rPr>
        <w:t>scri</w:t>
      </w:r>
      <w:r w:rsidR="005C4968">
        <w:rPr>
          <w:rFonts w:ascii="Arial" w:hAnsi="Arial" w:cs="Arial"/>
        </w:rPr>
        <w:t>ption</w:t>
      </w:r>
      <w:r>
        <w:rPr>
          <w:rFonts w:ascii="Arial" w:hAnsi="Arial" w:cs="Arial"/>
        </w:rPr>
        <w:t xml:space="preserve"> on transitional arrangements. Today much focus is on the en</w:t>
      </w:r>
      <w:r w:rsidR="00A364A1">
        <w:rPr>
          <w:rFonts w:ascii="Arial" w:hAnsi="Arial" w:cs="Arial"/>
        </w:rPr>
        <w:t>during</w:t>
      </w:r>
      <w:r>
        <w:rPr>
          <w:rFonts w:ascii="Arial" w:hAnsi="Arial" w:cs="Arial"/>
        </w:rPr>
        <w:t xml:space="preserve"> model. A</w:t>
      </w:r>
      <w:r w:rsidR="00E65604">
        <w:rPr>
          <w:rFonts w:ascii="Arial" w:hAnsi="Arial" w:cs="Arial"/>
        </w:rPr>
        <w:t>vailable capacity to be explicitly allocated should be at disposal for market parties in the same platform</w:t>
      </w:r>
      <w:r w:rsidR="005C4968">
        <w:rPr>
          <w:rFonts w:ascii="Arial" w:hAnsi="Arial" w:cs="Arial"/>
        </w:rPr>
        <w:t xml:space="preserve"> (website)</w:t>
      </w:r>
      <w:r w:rsidR="00E65604">
        <w:rPr>
          <w:rFonts w:ascii="Arial" w:hAnsi="Arial" w:cs="Arial"/>
        </w:rPr>
        <w:t xml:space="preserve"> as the available capacity to be allocated implicitly; removal should not be fixed by date.</w:t>
      </w:r>
      <w:r w:rsidR="000C1878">
        <w:rPr>
          <w:rFonts w:ascii="Arial" w:hAnsi="Arial" w:cs="Arial"/>
        </w:rPr>
        <w:t xml:space="preserve"> </w:t>
      </w:r>
      <w:r w:rsidR="00417C0D" w:rsidRPr="00417C0D">
        <w:rPr>
          <w:rFonts w:ascii="Arial" w:hAnsi="Arial" w:cs="Arial"/>
        </w:rPr>
        <w:t>In general the text is ok but details to be improved.</w:t>
      </w:r>
    </w:p>
    <w:p w:rsidR="00E65604" w:rsidRDefault="006B22E4" w:rsidP="00E65604">
      <w:pPr>
        <w:jc w:val="both"/>
        <w:rPr>
          <w:rFonts w:ascii="Arial" w:hAnsi="Arial" w:cs="Arial"/>
        </w:rPr>
      </w:pPr>
      <w:r>
        <w:rPr>
          <w:rFonts w:ascii="Arial" w:hAnsi="Arial" w:cs="Arial"/>
        </w:rPr>
        <w:t xml:space="preserve">EFET: access of OTC to intraday capacity is not sufficiently dealt with. More details (like auction rules) are necessary. Fixing the date for removal of OTC access should be done after consultation. Better </w:t>
      </w:r>
      <w:r w:rsidR="000C1878">
        <w:rPr>
          <w:rFonts w:ascii="Arial" w:hAnsi="Arial" w:cs="Arial"/>
        </w:rPr>
        <w:t xml:space="preserve">and clearer </w:t>
      </w:r>
      <w:r>
        <w:rPr>
          <w:rFonts w:ascii="Arial" w:hAnsi="Arial" w:cs="Arial"/>
        </w:rPr>
        <w:t xml:space="preserve">separation of roles and functions is needed. </w:t>
      </w:r>
      <w:r w:rsidR="000C1878">
        <w:rPr>
          <w:rFonts w:ascii="Arial" w:hAnsi="Arial" w:cs="Arial"/>
        </w:rPr>
        <w:t xml:space="preserve">The wording “commercial exchange” could be misleading. </w:t>
      </w:r>
      <w:r w:rsidR="00B15711">
        <w:rPr>
          <w:rFonts w:ascii="Arial" w:hAnsi="Arial" w:cs="Arial"/>
        </w:rPr>
        <w:t xml:space="preserve">Pricing of intraday capacity: TSOs propose, regulators approve, but the question is </w:t>
      </w:r>
      <w:r w:rsidR="000C1878">
        <w:rPr>
          <w:rFonts w:ascii="Arial" w:hAnsi="Arial" w:cs="Arial"/>
        </w:rPr>
        <w:t xml:space="preserve">under which conditions it would apply and </w:t>
      </w:r>
      <w:r w:rsidR="00B15711">
        <w:rPr>
          <w:rFonts w:ascii="Arial" w:hAnsi="Arial" w:cs="Arial"/>
        </w:rPr>
        <w:t>how to implement</w:t>
      </w:r>
      <w:r w:rsidR="000C1878">
        <w:rPr>
          <w:rFonts w:ascii="Arial" w:hAnsi="Arial" w:cs="Arial"/>
        </w:rPr>
        <w:t xml:space="preserve"> it</w:t>
      </w:r>
      <w:r w:rsidR="00B15711">
        <w:rPr>
          <w:rFonts w:ascii="Arial" w:hAnsi="Arial" w:cs="Arial"/>
        </w:rPr>
        <w:t>?</w:t>
      </w:r>
    </w:p>
    <w:p w:rsidR="00C64277" w:rsidRDefault="00C64277" w:rsidP="00E65604">
      <w:pPr>
        <w:jc w:val="both"/>
        <w:rPr>
          <w:rFonts w:ascii="Arial" w:hAnsi="Arial" w:cs="Arial"/>
        </w:rPr>
      </w:pPr>
      <w:r>
        <w:rPr>
          <w:rFonts w:ascii="Arial" w:hAnsi="Arial" w:cs="Arial"/>
        </w:rPr>
        <w:t>EWEA welcomes ENTSO-E approach on implicit aucti</w:t>
      </w:r>
      <w:r w:rsidR="00C36D97">
        <w:rPr>
          <w:rFonts w:ascii="Arial" w:hAnsi="Arial" w:cs="Arial"/>
        </w:rPr>
        <w:t>ons for</w:t>
      </w:r>
      <w:r>
        <w:rPr>
          <w:rFonts w:ascii="Arial" w:hAnsi="Arial" w:cs="Arial"/>
        </w:rPr>
        <w:t xml:space="preserve"> cross-border exchanges and the shared order book. More prescription could be envisaged on gate closure time: 1 hour as a minimum before real-time could be a benchmark for harmonization.  EWEA strongly recommends </w:t>
      </w:r>
      <w:r w:rsidR="004A5016">
        <w:rPr>
          <w:rFonts w:ascii="Arial" w:hAnsi="Arial" w:cs="Arial"/>
        </w:rPr>
        <w:t>reducing</w:t>
      </w:r>
      <w:r>
        <w:rPr>
          <w:rFonts w:ascii="Arial" w:hAnsi="Arial" w:cs="Arial"/>
        </w:rPr>
        <w:t xml:space="preserve"> this time in view of increased RES deployment. Clarification needed on continuous trading solutions: best solution for RES allocation.</w:t>
      </w:r>
      <w:r w:rsidR="009E4983">
        <w:rPr>
          <w:rFonts w:ascii="Arial" w:hAnsi="Arial" w:cs="Arial"/>
        </w:rPr>
        <w:t xml:space="preserve"> EWEA shows a slide with </w:t>
      </w:r>
      <w:r w:rsidR="000C1878">
        <w:rPr>
          <w:rFonts w:ascii="Arial" w:hAnsi="Arial" w:cs="Arial"/>
        </w:rPr>
        <w:t xml:space="preserve">the </w:t>
      </w:r>
      <w:r w:rsidR="009E4983">
        <w:rPr>
          <w:rFonts w:ascii="Arial" w:hAnsi="Arial" w:cs="Arial"/>
        </w:rPr>
        <w:t xml:space="preserve">level of accuracy of wind power predictions </w:t>
      </w:r>
      <w:r w:rsidR="000C1878">
        <w:rPr>
          <w:rFonts w:ascii="Arial" w:hAnsi="Arial" w:cs="Arial"/>
        </w:rPr>
        <w:t>which improve significantly during the last hour before real time</w:t>
      </w:r>
      <w:r w:rsidR="009E4983">
        <w:rPr>
          <w:rFonts w:ascii="Arial" w:hAnsi="Arial" w:cs="Arial"/>
        </w:rPr>
        <w:t>.</w:t>
      </w:r>
    </w:p>
    <w:p w:rsidR="00FC78B8" w:rsidRDefault="00FC78B8" w:rsidP="00E65604">
      <w:pPr>
        <w:jc w:val="both"/>
        <w:rPr>
          <w:rFonts w:ascii="Arial" w:hAnsi="Arial" w:cs="Arial"/>
        </w:rPr>
      </w:pPr>
      <w:r>
        <w:rPr>
          <w:rFonts w:ascii="Arial" w:hAnsi="Arial" w:cs="Arial"/>
        </w:rPr>
        <w:t>IFIEC is not present in the meeting.</w:t>
      </w:r>
    </w:p>
    <w:p w:rsidR="00FC78B8" w:rsidRDefault="00FC78B8" w:rsidP="00E65604">
      <w:pPr>
        <w:jc w:val="both"/>
        <w:rPr>
          <w:rFonts w:ascii="Arial" w:hAnsi="Arial" w:cs="Arial"/>
        </w:rPr>
      </w:pPr>
      <w:r>
        <w:rPr>
          <w:rFonts w:ascii="Arial" w:hAnsi="Arial" w:cs="Arial"/>
        </w:rPr>
        <w:t xml:space="preserve">CEFIC </w:t>
      </w:r>
      <w:r w:rsidR="00642C5B">
        <w:rPr>
          <w:rFonts w:ascii="Arial" w:hAnsi="Arial" w:cs="Arial"/>
        </w:rPr>
        <w:t xml:space="preserve">sees that intraday is a key for balancing system. It </w:t>
      </w:r>
      <w:r w:rsidR="00EB3537">
        <w:rPr>
          <w:rFonts w:ascii="Arial" w:hAnsi="Arial" w:cs="Arial"/>
        </w:rPr>
        <w:t>is concerned about the possibility that</w:t>
      </w:r>
      <w:r w:rsidR="00642C5B">
        <w:rPr>
          <w:rFonts w:ascii="Arial" w:hAnsi="Arial" w:cs="Arial"/>
        </w:rPr>
        <w:t xml:space="preserve"> intraday </w:t>
      </w:r>
      <w:r w:rsidR="00EB3537">
        <w:rPr>
          <w:rFonts w:ascii="Arial" w:hAnsi="Arial" w:cs="Arial"/>
        </w:rPr>
        <w:t>“</w:t>
      </w:r>
      <w:r w:rsidR="00642C5B">
        <w:rPr>
          <w:rFonts w:ascii="Arial" w:hAnsi="Arial" w:cs="Arial"/>
        </w:rPr>
        <w:t>s</w:t>
      </w:r>
      <w:r w:rsidR="00EB3537">
        <w:rPr>
          <w:rFonts w:ascii="Arial" w:hAnsi="Arial" w:cs="Arial"/>
        </w:rPr>
        <w:t>teals</w:t>
      </w:r>
      <w:r w:rsidR="00F45E98">
        <w:rPr>
          <w:rFonts w:ascii="Arial" w:hAnsi="Arial" w:cs="Arial"/>
        </w:rPr>
        <w:t>”</w:t>
      </w:r>
      <w:r w:rsidR="00642C5B">
        <w:rPr>
          <w:rFonts w:ascii="Arial" w:hAnsi="Arial" w:cs="Arial"/>
        </w:rPr>
        <w:t xml:space="preserve"> capacity from day-ahead market.</w:t>
      </w:r>
      <w:r w:rsidR="00EB3537" w:rsidRPr="00EB3537">
        <w:t xml:space="preserve"> </w:t>
      </w:r>
      <w:r w:rsidR="00EB3537">
        <w:t>P</w:t>
      </w:r>
      <w:r w:rsidR="00EB3537" w:rsidRPr="00EB3537">
        <w:rPr>
          <w:rFonts w:ascii="Arial" w:hAnsi="Arial" w:cs="Arial"/>
        </w:rPr>
        <w:t>reference for PX trading o</w:t>
      </w:r>
      <w:r w:rsidR="00EB3537">
        <w:rPr>
          <w:rFonts w:ascii="Arial" w:hAnsi="Arial" w:cs="Arial"/>
        </w:rPr>
        <w:t>ver</w:t>
      </w:r>
      <w:r w:rsidR="00EB3537" w:rsidRPr="00EB3537">
        <w:rPr>
          <w:rFonts w:ascii="Arial" w:hAnsi="Arial" w:cs="Arial"/>
        </w:rPr>
        <w:t xml:space="preserve"> OTC</w:t>
      </w:r>
      <w:r w:rsidR="00EB3537">
        <w:rPr>
          <w:rFonts w:ascii="Arial" w:hAnsi="Arial" w:cs="Arial"/>
        </w:rPr>
        <w:t xml:space="preserve"> as it ensures</w:t>
      </w:r>
      <w:r w:rsidR="00642C5B">
        <w:rPr>
          <w:rFonts w:ascii="Arial" w:hAnsi="Arial" w:cs="Arial"/>
        </w:rPr>
        <w:t xml:space="preserve"> </w:t>
      </w:r>
      <w:r w:rsidR="00EB3537">
        <w:rPr>
          <w:rFonts w:ascii="Arial" w:hAnsi="Arial" w:cs="Arial"/>
        </w:rPr>
        <w:t>b</w:t>
      </w:r>
      <w:r w:rsidR="00642C5B">
        <w:rPr>
          <w:rFonts w:ascii="Arial" w:hAnsi="Arial" w:cs="Arial"/>
        </w:rPr>
        <w:t xml:space="preserve">etter market process and transparency. Matching block bids with </w:t>
      </w:r>
      <w:r w:rsidR="00EB3537">
        <w:rPr>
          <w:rFonts w:ascii="Arial" w:hAnsi="Arial" w:cs="Arial"/>
        </w:rPr>
        <w:t>hou</w:t>
      </w:r>
      <w:r w:rsidR="00642C5B">
        <w:rPr>
          <w:rFonts w:ascii="Arial" w:hAnsi="Arial" w:cs="Arial"/>
        </w:rPr>
        <w:t>rly bid</w:t>
      </w:r>
      <w:r w:rsidR="00D26CC4">
        <w:rPr>
          <w:rFonts w:ascii="Arial" w:hAnsi="Arial" w:cs="Arial"/>
        </w:rPr>
        <w:t>s</w:t>
      </w:r>
      <w:r w:rsidR="00642C5B">
        <w:rPr>
          <w:rFonts w:ascii="Arial" w:hAnsi="Arial" w:cs="Arial"/>
        </w:rPr>
        <w:t xml:space="preserve"> should be </w:t>
      </w:r>
      <w:r w:rsidR="00EB3537">
        <w:rPr>
          <w:rFonts w:ascii="Arial" w:hAnsi="Arial" w:cs="Arial"/>
        </w:rPr>
        <w:t>possible</w:t>
      </w:r>
      <w:r w:rsidR="00642C5B">
        <w:rPr>
          <w:rFonts w:ascii="Arial" w:hAnsi="Arial" w:cs="Arial"/>
        </w:rPr>
        <w:t>.</w:t>
      </w:r>
    </w:p>
    <w:p w:rsidR="00F45E98" w:rsidRDefault="00C36D97" w:rsidP="00E65604">
      <w:pPr>
        <w:jc w:val="both"/>
        <w:rPr>
          <w:rFonts w:ascii="Arial" w:hAnsi="Arial" w:cs="Arial"/>
        </w:rPr>
      </w:pPr>
      <w:proofErr w:type="spellStart"/>
      <w:r w:rsidRPr="00192870">
        <w:rPr>
          <w:rFonts w:ascii="Arial" w:hAnsi="Arial" w:cs="Arial"/>
        </w:rPr>
        <w:lastRenderedPageBreak/>
        <w:t>Europex</w:t>
      </w:r>
      <w:proofErr w:type="spellEnd"/>
      <w:r w:rsidRPr="00192870">
        <w:rPr>
          <w:rFonts w:ascii="Arial" w:hAnsi="Arial" w:cs="Arial"/>
        </w:rPr>
        <w:t>:</w:t>
      </w:r>
      <w:r>
        <w:rPr>
          <w:rFonts w:ascii="Arial" w:hAnsi="Arial" w:cs="Arial"/>
        </w:rPr>
        <w:t xml:space="preserve"> the code should not focus on </w:t>
      </w:r>
      <w:r w:rsidR="00D26CC4">
        <w:rPr>
          <w:rFonts w:ascii="Arial" w:hAnsi="Arial" w:cs="Arial"/>
        </w:rPr>
        <w:t xml:space="preserve">the method of </w:t>
      </w:r>
      <w:r>
        <w:rPr>
          <w:rFonts w:ascii="Arial" w:hAnsi="Arial" w:cs="Arial"/>
        </w:rPr>
        <w:t>prici</w:t>
      </w:r>
      <w:r w:rsidR="00D26CC4">
        <w:rPr>
          <w:rFonts w:ascii="Arial" w:hAnsi="Arial" w:cs="Arial"/>
        </w:rPr>
        <w:t xml:space="preserve">ng </w:t>
      </w:r>
      <w:r>
        <w:rPr>
          <w:rFonts w:ascii="Arial" w:hAnsi="Arial" w:cs="Arial"/>
        </w:rPr>
        <w:t>capacity (too early)</w:t>
      </w:r>
      <w:r w:rsidR="00EB3537">
        <w:rPr>
          <w:rFonts w:ascii="Arial" w:hAnsi="Arial" w:cs="Arial"/>
        </w:rPr>
        <w:t xml:space="preserve"> or products specifications</w:t>
      </w:r>
      <w:r w:rsidR="00D26CC4">
        <w:rPr>
          <w:rFonts w:ascii="Arial" w:hAnsi="Arial" w:cs="Arial"/>
        </w:rPr>
        <w:t xml:space="preserve">. </w:t>
      </w:r>
      <w:r>
        <w:rPr>
          <w:rFonts w:ascii="Arial" w:hAnsi="Arial" w:cs="Arial"/>
        </w:rPr>
        <w:t xml:space="preserve">The target model is </w:t>
      </w:r>
      <w:r w:rsidR="00D26CC4">
        <w:rPr>
          <w:rFonts w:ascii="Arial" w:hAnsi="Arial" w:cs="Arial"/>
        </w:rPr>
        <w:t xml:space="preserve">asking for shared order book, </w:t>
      </w:r>
      <w:r w:rsidR="00EB3537">
        <w:rPr>
          <w:rFonts w:ascii="Arial" w:hAnsi="Arial" w:cs="Arial"/>
        </w:rPr>
        <w:t>capacity management</w:t>
      </w:r>
      <w:r w:rsidR="00D26CC4">
        <w:rPr>
          <w:rFonts w:ascii="Arial" w:hAnsi="Arial" w:cs="Arial"/>
        </w:rPr>
        <w:t xml:space="preserve"> module etc</w:t>
      </w:r>
      <w:r>
        <w:rPr>
          <w:rFonts w:ascii="Arial" w:hAnsi="Arial" w:cs="Arial"/>
        </w:rPr>
        <w:t>.</w:t>
      </w:r>
      <w:r w:rsidR="00192870">
        <w:rPr>
          <w:rFonts w:ascii="Arial" w:hAnsi="Arial" w:cs="Arial"/>
        </w:rPr>
        <w:t xml:space="preserve"> The link is not clear at the moment. </w:t>
      </w:r>
      <w:r>
        <w:rPr>
          <w:rFonts w:ascii="Arial" w:hAnsi="Arial" w:cs="Arial"/>
        </w:rPr>
        <w:t xml:space="preserve">The function of market operator should be merged with </w:t>
      </w:r>
      <w:r w:rsidR="00EB3537">
        <w:rPr>
          <w:rFonts w:ascii="Arial" w:hAnsi="Arial" w:cs="Arial"/>
        </w:rPr>
        <w:t>market coupling operator and capacity exchange calculator (otherwise continuous trading may not be feasible)</w:t>
      </w:r>
      <w:r>
        <w:rPr>
          <w:rFonts w:ascii="Arial" w:hAnsi="Arial" w:cs="Arial"/>
        </w:rPr>
        <w:t xml:space="preserve">. </w:t>
      </w:r>
      <w:r w:rsidR="009C6D59" w:rsidRPr="009C6D59">
        <w:rPr>
          <w:rFonts w:ascii="Arial" w:hAnsi="Arial" w:cs="Arial"/>
        </w:rPr>
        <w:t>Agree</w:t>
      </w:r>
      <w:r w:rsidR="009C6D59">
        <w:rPr>
          <w:rFonts w:ascii="Arial" w:hAnsi="Arial" w:cs="Arial"/>
        </w:rPr>
        <w:t>s</w:t>
      </w:r>
      <w:r w:rsidR="009C6D59" w:rsidRPr="009C6D59">
        <w:rPr>
          <w:rFonts w:ascii="Arial" w:hAnsi="Arial" w:cs="Arial"/>
        </w:rPr>
        <w:t xml:space="preserve"> that tasks and roles should be as precisely defined as possible but it means that all of these should be requirements on the SOB operators </w:t>
      </w:r>
      <w:proofErr w:type="gramStart"/>
      <w:r>
        <w:rPr>
          <w:rFonts w:ascii="Arial" w:hAnsi="Arial" w:cs="Arial"/>
        </w:rPr>
        <w:t>The</w:t>
      </w:r>
      <w:proofErr w:type="gramEnd"/>
      <w:r>
        <w:rPr>
          <w:rFonts w:ascii="Arial" w:hAnsi="Arial" w:cs="Arial"/>
        </w:rPr>
        <w:t xml:space="preserve"> impact on nomination, harmonization, and firmness in capacity calculation code should be checked.</w:t>
      </w:r>
    </w:p>
    <w:p w:rsidR="00C36D97" w:rsidRDefault="00C36D97" w:rsidP="00E65604">
      <w:pPr>
        <w:jc w:val="both"/>
        <w:rPr>
          <w:rFonts w:ascii="Arial" w:hAnsi="Arial" w:cs="Arial"/>
        </w:rPr>
      </w:pPr>
      <w:r>
        <w:rPr>
          <w:rFonts w:ascii="Arial" w:hAnsi="Arial" w:cs="Arial"/>
        </w:rPr>
        <w:t xml:space="preserve">Matti asks </w:t>
      </w:r>
      <w:r w:rsidR="00EB095C">
        <w:rPr>
          <w:rFonts w:ascii="Arial" w:hAnsi="Arial" w:cs="Arial"/>
        </w:rPr>
        <w:t xml:space="preserve">whether </w:t>
      </w:r>
      <w:r>
        <w:rPr>
          <w:rFonts w:ascii="Arial" w:hAnsi="Arial" w:cs="Arial"/>
        </w:rPr>
        <w:t xml:space="preserve">the code deviates from the target model and </w:t>
      </w:r>
      <w:r w:rsidR="009C6D59">
        <w:rPr>
          <w:rFonts w:ascii="Arial" w:hAnsi="Arial" w:cs="Arial"/>
        </w:rPr>
        <w:t xml:space="preserve">if so, </w:t>
      </w:r>
      <w:r>
        <w:rPr>
          <w:rFonts w:ascii="Arial" w:hAnsi="Arial" w:cs="Arial"/>
        </w:rPr>
        <w:t>where. As to governance model, the question is whether intra-day and day-ahead should be governed in a similar manner. Functionalities could be tested (somewhere) before the code is implemented.</w:t>
      </w:r>
    </w:p>
    <w:p w:rsidR="00EB095C" w:rsidRDefault="00192870" w:rsidP="00E65604">
      <w:pPr>
        <w:jc w:val="both"/>
        <w:rPr>
          <w:rFonts w:ascii="Arial" w:hAnsi="Arial" w:cs="Arial"/>
        </w:rPr>
      </w:pPr>
      <w:r>
        <w:rPr>
          <w:rFonts w:ascii="Arial" w:hAnsi="Arial" w:cs="Arial"/>
        </w:rPr>
        <w:t>ENTSOE</w:t>
      </w:r>
      <w:r w:rsidR="00EB095C">
        <w:rPr>
          <w:rFonts w:ascii="Arial" w:hAnsi="Arial" w:cs="Arial"/>
        </w:rPr>
        <w:t xml:space="preserve"> answers that the D</w:t>
      </w:r>
      <w:r w:rsidR="009C6D59">
        <w:rPr>
          <w:rFonts w:ascii="Arial" w:hAnsi="Arial" w:cs="Arial"/>
        </w:rPr>
        <w:t xml:space="preserve">rafting </w:t>
      </w:r>
      <w:r w:rsidR="00EB095C">
        <w:rPr>
          <w:rFonts w:ascii="Arial" w:hAnsi="Arial" w:cs="Arial"/>
        </w:rPr>
        <w:t>T</w:t>
      </w:r>
      <w:r w:rsidR="009C6D59">
        <w:rPr>
          <w:rFonts w:ascii="Arial" w:hAnsi="Arial" w:cs="Arial"/>
        </w:rPr>
        <w:t>eam</w:t>
      </w:r>
      <w:r w:rsidR="00EB095C">
        <w:rPr>
          <w:rFonts w:ascii="Arial" w:hAnsi="Arial" w:cs="Arial"/>
        </w:rPr>
        <w:t xml:space="preserve"> didn’t deviate from the target model.</w:t>
      </w:r>
      <w:r w:rsidR="009C6D59">
        <w:rPr>
          <w:rFonts w:ascii="Arial" w:hAnsi="Arial" w:cs="Arial"/>
        </w:rPr>
        <w:t xml:space="preserve"> The only possible deviation is the date of removing explicit capacity access in 2016, instead of 2014 as target date </w:t>
      </w:r>
      <w:r w:rsidR="00F8019C">
        <w:rPr>
          <w:rFonts w:ascii="Arial" w:hAnsi="Arial" w:cs="Arial"/>
        </w:rPr>
        <w:t xml:space="preserve">for </w:t>
      </w:r>
      <w:r w:rsidR="009C6D59">
        <w:rPr>
          <w:rFonts w:ascii="Arial" w:hAnsi="Arial" w:cs="Arial"/>
        </w:rPr>
        <w:t xml:space="preserve">the </w:t>
      </w:r>
      <w:r w:rsidR="00F8019C">
        <w:rPr>
          <w:rFonts w:ascii="Arial" w:hAnsi="Arial" w:cs="Arial"/>
        </w:rPr>
        <w:t xml:space="preserve">full scale </w:t>
      </w:r>
      <w:r w:rsidR="009C6D59">
        <w:rPr>
          <w:rFonts w:ascii="Arial" w:hAnsi="Arial" w:cs="Arial"/>
        </w:rPr>
        <w:t>target model</w:t>
      </w:r>
      <w:r w:rsidR="00F8019C">
        <w:rPr>
          <w:rFonts w:ascii="Arial" w:hAnsi="Arial" w:cs="Arial"/>
        </w:rPr>
        <w:t xml:space="preserve"> implementation</w:t>
      </w:r>
      <w:r w:rsidR="009C6D59">
        <w:rPr>
          <w:rFonts w:ascii="Arial" w:hAnsi="Arial" w:cs="Arial"/>
        </w:rPr>
        <w:t>.</w:t>
      </w:r>
      <w:r w:rsidR="00EB095C">
        <w:rPr>
          <w:rFonts w:ascii="Arial" w:hAnsi="Arial" w:cs="Arial"/>
        </w:rPr>
        <w:t xml:space="preserve"> Functional link is to be done with SOB and CMM. As to governance, the common sense says that day-ahead and intraday must converge and have similar rules.</w:t>
      </w:r>
    </w:p>
    <w:p w:rsidR="00512BD1" w:rsidRDefault="00512BD1" w:rsidP="00E65604">
      <w:pPr>
        <w:jc w:val="both"/>
        <w:rPr>
          <w:rFonts w:ascii="Arial" w:hAnsi="Arial" w:cs="Arial"/>
        </w:rPr>
      </w:pPr>
      <w:proofErr w:type="spellStart"/>
      <w:r>
        <w:rPr>
          <w:rFonts w:ascii="Arial" w:hAnsi="Arial" w:cs="Arial"/>
        </w:rPr>
        <w:t>Europex</w:t>
      </w:r>
      <w:proofErr w:type="spellEnd"/>
      <w:r>
        <w:rPr>
          <w:rFonts w:ascii="Arial" w:hAnsi="Arial" w:cs="Arial"/>
        </w:rPr>
        <w:t xml:space="preserve"> have a draft definition of Market Operator which includes Market Coupling Operator. At the </w:t>
      </w:r>
      <w:r w:rsidR="003422E3">
        <w:rPr>
          <w:rFonts w:ascii="Arial" w:hAnsi="Arial" w:cs="Arial"/>
        </w:rPr>
        <w:t>moment ENTSOE wants to keep both functions separate.</w:t>
      </w:r>
    </w:p>
    <w:p w:rsidR="000D5FD2" w:rsidRDefault="00324E61" w:rsidP="00E65604">
      <w:pPr>
        <w:jc w:val="both"/>
        <w:rPr>
          <w:rFonts w:ascii="Arial" w:hAnsi="Arial" w:cs="Arial"/>
        </w:rPr>
      </w:pPr>
      <w:proofErr w:type="spellStart"/>
      <w:r>
        <w:rPr>
          <w:rFonts w:ascii="Arial" w:hAnsi="Arial" w:cs="Arial"/>
        </w:rPr>
        <w:t>Europex</w:t>
      </w:r>
      <w:proofErr w:type="spellEnd"/>
      <w:r>
        <w:rPr>
          <w:rFonts w:ascii="Arial" w:hAnsi="Arial" w:cs="Arial"/>
        </w:rPr>
        <w:t xml:space="preserve"> says that we are speaking about the continuous trading mechanisms in the same trading system. That means that it doesn’t matter where the bids </w:t>
      </w:r>
      <w:r w:rsidR="00196F65">
        <w:rPr>
          <w:rFonts w:ascii="Arial" w:hAnsi="Arial" w:cs="Arial"/>
        </w:rPr>
        <w:t>are collected (locally or elsewhe</w:t>
      </w:r>
      <w:r>
        <w:rPr>
          <w:rFonts w:ascii="Arial" w:hAnsi="Arial" w:cs="Arial"/>
        </w:rPr>
        <w:t>re).</w:t>
      </w:r>
      <w:r w:rsidR="00F568A0">
        <w:rPr>
          <w:rFonts w:ascii="Arial" w:hAnsi="Arial" w:cs="Arial"/>
        </w:rPr>
        <w:t xml:space="preserve"> This requires a difference between day-ahea</w:t>
      </w:r>
      <w:r w:rsidR="000F6F7B">
        <w:rPr>
          <w:rFonts w:ascii="Arial" w:hAnsi="Arial" w:cs="Arial"/>
        </w:rPr>
        <w:t>d</w:t>
      </w:r>
      <w:r w:rsidR="00F568A0">
        <w:rPr>
          <w:rFonts w:ascii="Arial" w:hAnsi="Arial" w:cs="Arial"/>
        </w:rPr>
        <w:t xml:space="preserve"> and intraday mechanism.</w:t>
      </w:r>
      <w:r>
        <w:rPr>
          <w:rFonts w:ascii="Arial" w:hAnsi="Arial" w:cs="Arial"/>
        </w:rPr>
        <w:t xml:space="preserve"> </w:t>
      </w:r>
    </w:p>
    <w:p w:rsidR="000F6F7B" w:rsidRDefault="00694503" w:rsidP="00E65604">
      <w:pPr>
        <w:jc w:val="both"/>
        <w:rPr>
          <w:rFonts w:ascii="Arial" w:hAnsi="Arial" w:cs="Arial"/>
        </w:rPr>
      </w:pPr>
      <w:r>
        <w:rPr>
          <w:rFonts w:ascii="Arial" w:hAnsi="Arial" w:cs="Arial"/>
        </w:rPr>
        <w:t>EFET says that clear allocation of functions and separations of roles is important for EFET. Commercial exchange calculator is close to TSOs (calculation of flows): therefore, the wording “commercial” is misleading</w:t>
      </w:r>
      <w:r w:rsidR="00880099">
        <w:rPr>
          <w:rFonts w:ascii="Arial" w:hAnsi="Arial" w:cs="Arial"/>
        </w:rPr>
        <w:t xml:space="preserve"> (ENTSO-E </w:t>
      </w:r>
      <w:r w:rsidR="00F84264">
        <w:rPr>
          <w:rFonts w:ascii="Arial" w:hAnsi="Arial" w:cs="Arial"/>
        </w:rPr>
        <w:t xml:space="preserve">acknowledges </w:t>
      </w:r>
      <w:r w:rsidR="00880099">
        <w:rPr>
          <w:rFonts w:ascii="Arial" w:hAnsi="Arial" w:cs="Arial"/>
        </w:rPr>
        <w:t>that an option would be to change the wording “commercial exchange” into “scheduling”)</w:t>
      </w:r>
      <w:r>
        <w:rPr>
          <w:rFonts w:ascii="Arial" w:hAnsi="Arial" w:cs="Arial"/>
        </w:rPr>
        <w:t xml:space="preserve">. If the role in intraday is similar, the </w:t>
      </w:r>
      <w:r w:rsidR="00376779">
        <w:rPr>
          <w:rFonts w:ascii="Arial" w:hAnsi="Arial" w:cs="Arial"/>
        </w:rPr>
        <w:t xml:space="preserve">corresponding </w:t>
      </w:r>
      <w:r>
        <w:rPr>
          <w:rFonts w:ascii="Arial" w:hAnsi="Arial" w:cs="Arial"/>
        </w:rPr>
        <w:t>wording needs to be improved too.</w:t>
      </w:r>
    </w:p>
    <w:p w:rsidR="00CD662D" w:rsidRPr="00E65604" w:rsidRDefault="00CD662D" w:rsidP="00E65604">
      <w:pPr>
        <w:jc w:val="both"/>
        <w:rPr>
          <w:rFonts w:ascii="Arial" w:hAnsi="Arial" w:cs="Arial"/>
        </w:rPr>
      </w:pPr>
    </w:p>
    <w:p w:rsidR="0037392B" w:rsidRPr="0037392B" w:rsidRDefault="0037392B" w:rsidP="0037392B">
      <w:pPr>
        <w:pStyle w:val="ListParagraph"/>
        <w:numPr>
          <w:ilvl w:val="0"/>
          <w:numId w:val="2"/>
        </w:numPr>
        <w:jc w:val="both"/>
        <w:rPr>
          <w:rFonts w:ascii="Arial" w:hAnsi="Arial" w:cs="Arial"/>
          <w:b/>
        </w:rPr>
      </w:pPr>
      <w:r w:rsidRPr="00BE6754">
        <w:rPr>
          <w:rFonts w:ascii="Arial" w:hAnsi="Arial" w:cs="Arial"/>
          <w:b/>
        </w:rPr>
        <w:t xml:space="preserve">Common discussion </w:t>
      </w:r>
      <w:r>
        <w:rPr>
          <w:rFonts w:ascii="Arial" w:hAnsi="Arial" w:cs="Arial"/>
          <w:b/>
        </w:rPr>
        <w:t>ID</w:t>
      </w:r>
      <w:r w:rsidRPr="00BE6754">
        <w:rPr>
          <w:rFonts w:ascii="Arial" w:hAnsi="Arial" w:cs="Arial"/>
          <w:b/>
        </w:rPr>
        <w:t xml:space="preserve"> part</w:t>
      </w:r>
    </w:p>
    <w:p w:rsidR="00FC028C" w:rsidRDefault="00192870" w:rsidP="0037392B">
      <w:pPr>
        <w:rPr>
          <w:rFonts w:ascii="Arial" w:hAnsi="Arial" w:cs="Arial"/>
        </w:rPr>
      </w:pPr>
      <w:r>
        <w:rPr>
          <w:rFonts w:ascii="Arial" w:hAnsi="Arial" w:cs="Arial"/>
        </w:rPr>
        <w:t>ENTSOE</w:t>
      </w:r>
      <w:r w:rsidR="002E37F7">
        <w:rPr>
          <w:rFonts w:ascii="Arial" w:hAnsi="Arial" w:cs="Arial"/>
        </w:rPr>
        <w:t xml:space="preserve"> explains the different </w:t>
      </w:r>
      <w:r w:rsidR="00777F8F">
        <w:rPr>
          <w:rFonts w:ascii="Arial" w:hAnsi="Arial" w:cs="Arial"/>
        </w:rPr>
        <w:t xml:space="preserve">functions listed </w:t>
      </w:r>
      <w:r w:rsidR="002E37F7">
        <w:rPr>
          <w:rFonts w:ascii="Arial" w:hAnsi="Arial" w:cs="Arial"/>
        </w:rPr>
        <w:t xml:space="preserve">in the code. </w:t>
      </w:r>
      <w:r w:rsidR="004B4FF7">
        <w:rPr>
          <w:rFonts w:ascii="Arial" w:hAnsi="Arial" w:cs="Arial"/>
        </w:rPr>
        <w:t xml:space="preserve">Frank </w:t>
      </w:r>
      <w:proofErr w:type="spellStart"/>
      <w:r w:rsidR="004B4FF7">
        <w:rPr>
          <w:rFonts w:ascii="Arial" w:hAnsi="Arial" w:cs="Arial"/>
        </w:rPr>
        <w:t>Vandenberghe</w:t>
      </w:r>
      <w:proofErr w:type="spellEnd"/>
      <w:r w:rsidR="004B4FF7">
        <w:rPr>
          <w:rFonts w:ascii="Arial" w:hAnsi="Arial" w:cs="Arial"/>
        </w:rPr>
        <w:t xml:space="preserve"> </w:t>
      </w:r>
      <w:r w:rsidR="00777F8F">
        <w:rPr>
          <w:rFonts w:ascii="Arial" w:hAnsi="Arial" w:cs="Arial"/>
        </w:rPr>
        <w:t xml:space="preserve">presents </w:t>
      </w:r>
      <w:r w:rsidR="002E37F7">
        <w:rPr>
          <w:rFonts w:ascii="Arial" w:hAnsi="Arial" w:cs="Arial"/>
        </w:rPr>
        <w:t>a slide with</w:t>
      </w:r>
      <w:r w:rsidR="00147011">
        <w:rPr>
          <w:rFonts w:ascii="Arial" w:hAnsi="Arial" w:cs="Arial"/>
        </w:rPr>
        <w:t xml:space="preserve"> all the</w:t>
      </w:r>
      <w:r w:rsidR="002E37F7">
        <w:rPr>
          <w:rFonts w:ascii="Arial" w:hAnsi="Arial" w:cs="Arial"/>
        </w:rPr>
        <w:t xml:space="preserve"> main functions </w:t>
      </w:r>
      <w:r w:rsidR="00147011">
        <w:rPr>
          <w:rFonts w:ascii="Arial" w:hAnsi="Arial" w:cs="Arial"/>
        </w:rPr>
        <w:t xml:space="preserve">necessary </w:t>
      </w:r>
      <w:r w:rsidR="002E37F7">
        <w:rPr>
          <w:rFonts w:ascii="Arial" w:hAnsi="Arial" w:cs="Arial"/>
        </w:rPr>
        <w:t>in</w:t>
      </w:r>
      <w:r w:rsidR="00147011">
        <w:rPr>
          <w:rFonts w:ascii="Arial" w:hAnsi="Arial" w:cs="Arial"/>
        </w:rPr>
        <w:t xml:space="preserve"> both the</w:t>
      </w:r>
      <w:r w:rsidR="002E37F7">
        <w:rPr>
          <w:rFonts w:ascii="Arial" w:hAnsi="Arial" w:cs="Arial"/>
        </w:rPr>
        <w:t xml:space="preserve"> day-ahead and intraday</w:t>
      </w:r>
      <w:r w:rsidR="00147011">
        <w:rPr>
          <w:rFonts w:ascii="Arial" w:hAnsi="Arial" w:cs="Arial"/>
        </w:rPr>
        <w:t xml:space="preserve"> target model</w:t>
      </w:r>
      <w:r w:rsidR="00777F8F">
        <w:rPr>
          <w:rFonts w:ascii="Arial" w:hAnsi="Arial" w:cs="Arial"/>
        </w:rPr>
        <w:t xml:space="preserve"> (</w:t>
      </w:r>
      <w:r w:rsidR="00147011">
        <w:rPr>
          <w:rFonts w:ascii="Arial" w:hAnsi="Arial" w:cs="Arial"/>
        </w:rPr>
        <w:t xml:space="preserve">including the </w:t>
      </w:r>
      <w:r w:rsidR="002E37F7">
        <w:rPr>
          <w:rFonts w:ascii="Arial" w:hAnsi="Arial" w:cs="Arial"/>
        </w:rPr>
        <w:t xml:space="preserve"> option of shipping agent on some borders</w:t>
      </w:r>
      <w:r w:rsidR="00777F8F">
        <w:rPr>
          <w:rFonts w:ascii="Arial" w:hAnsi="Arial" w:cs="Arial"/>
        </w:rPr>
        <w:t xml:space="preserve">), describing their interactions </w:t>
      </w:r>
      <w:r w:rsidR="002E37F7">
        <w:rPr>
          <w:rFonts w:ascii="Arial" w:hAnsi="Arial" w:cs="Arial"/>
        </w:rPr>
        <w:t>.</w:t>
      </w:r>
    </w:p>
    <w:p w:rsidR="00C616E0" w:rsidRDefault="002B03A1" w:rsidP="0037392B">
      <w:pPr>
        <w:rPr>
          <w:rFonts w:ascii="Arial" w:hAnsi="Arial" w:cs="Arial"/>
        </w:rPr>
      </w:pPr>
      <w:r>
        <w:rPr>
          <w:rFonts w:ascii="Arial" w:hAnsi="Arial" w:cs="Arial"/>
        </w:rPr>
        <w:t xml:space="preserve">The participants </w:t>
      </w:r>
      <w:r w:rsidR="004F3507">
        <w:rPr>
          <w:rFonts w:ascii="Arial" w:hAnsi="Arial" w:cs="Arial"/>
        </w:rPr>
        <w:t>appreciate the clarity of the slide and consider it important</w:t>
      </w:r>
      <w:r w:rsidR="00147011">
        <w:rPr>
          <w:rFonts w:ascii="Arial" w:hAnsi="Arial" w:cs="Arial"/>
        </w:rPr>
        <w:t xml:space="preserve"> as it portraits all the essential functions of the process. Additionally, they </w:t>
      </w:r>
      <w:r>
        <w:rPr>
          <w:rFonts w:ascii="Arial" w:hAnsi="Arial" w:cs="Arial"/>
        </w:rPr>
        <w:t>make suggestions as to how to improve the chart</w:t>
      </w:r>
      <w:r w:rsidR="00147011">
        <w:rPr>
          <w:rFonts w:ascii="Arial" w:hAnsi="Arial" w:cs="Arial"/>
        </w:rPr>
        <w:t xml:space="preserve"> (</w:t>
      </w:r>
      <w:r w:rsidR="00022AFC">
        <w:rPr>
          <w:rFonts w:ascii="Arial" w:hAnsi="Arial" w:cs="Arial"/>
        </w:rPr>
        <w:t xml:space="preserve">e.g. </w:t>
      </w:r>
      <w:r w:rsidR="00147011">
        <w:rPr>
          <w:rFonts w:ascii="Arial" w:hAnsi="Arial" w:cs="Arial"/>
        </w:rPr>
        <w:t xml:space="preserve">adding arrows to better </w:t>
      </w:r>
      <w:bookmarkStart w:id="0" w:name="_GoBack"/>
      <w:bookmarkEnd w:id="0"/>
      <w:r w:rsidR="00147011">
        <w:rPr>
          <w:rFonts w:ascii="Arial" w:hAnsi="Arial" w:cs="Arial"/>
        </w:rPr>
        <w:t>show interdependencies)</w:t>
      </w:r>
      <w:r w:rsidR="00463134">
        <w:rPr>
          <w:rFonts w:ascii="Arial" w:hAnsi="Arial" w:cs="Arial"/>
        </w:rPr>
        <w:t>. They stress that CMM must be updated instantly by every trade in Europe.</w:t>
      </w:r>
      <w:r w:rsidR="00103998">
        <w:rPr>
          <w:rFonts w:ascii="Arial" w:hAnsi="Arial" w:cs="Arial"/>
        </w:rPr>
        <w:t xml:space="preserve"> EFET considers i</w:t>
      </w:r>
      <w:r w:rsidR="00103998" w:rsidRPr="00103998">
        <w:rPr>
          <w:rFonts w:ascii="Arial" w:hAnsi="Arial" w:cs="Arial"/>
        </w:rPr>
        <w:t>mportant to keep competition between PXs as MOs and CCPs within one bidding zone.</w:t>
      </w:r>
    </w:p>
    <w:p w:rsidR="006946C5" w:rsidRDefault="00C616E0" w:rsidP="0037392B">
      <w:pPr>
        <w:rPr>
          <w:rFonts w:ascii="Arial" w:hAnsi="Arial" w:cs="Arial"/>
        </w:rPr>
      </w:pPr>
      <w:r>
        <w:rPr>
          <w:rFonts w:ascii="Arial" w:hAnsi="Arial" w:cs="Arial"/>
        </w:rPr>
        <w:t>For better un</w:t>
      </w:r>
      <w:r w:rsidR="00192870">
        <w:rPr>
          <w:rFonts w:ascii="Arial" w:hAnsi="Arial" w:cs="Arial"/>
        </w:rPr>
        <w:t>derstanding of the chart, ENTSO</w:t>
      </w:r>
      <w:r>
        <w:rPr>
          <w:rFonts w:ascii="Arial" w:hAnsi="Arial" w:cs="Arial"/>
        </w:rPr>
        <w:t>E emphasizes that it only shows functions and not the entities to which the functions are assigned.</w:t>
      </w:r>
      <w:r w:rsidR="00BE5B5B">
        <w:rPr>
          <w:rFonts w:ascii="Arial" w:hAnsi="Arial" w:cs="Arial"/>
        </w:rPr>
        <w:t xml:space="preserve"> T</w:t>
      </w:r>
      <w:r w:rsidR="00417C0D" w:rsidRPr="00417C0D">
        <w:rPr>
          <w:rFonts w:ascii="Arial" w:hAnsi="Arial" w:cs="Arial"/>
        </w:rPr>
        <w:t>he more you go into the details of the TM the more functions are disaggregated and tasks have to be clearly described. Based on existing models we see a need o</w:t>
      </w:r>
      <w:r w:rsidR="00BE5B5B">
        <w:rPr>
          <w:rFonts w:ascii="Arial" w:hAnsi="Arial" w:cs="Arial"/>
        </w:rPr>
        <w:t>f</w:t>
      </w:r>
      <w:r w:rsidR="00417C0D" w:rsidRPr="00417C0D">
        <w:rPr>
          <w:rFonts w:ascii="Arial" w:hAnsi="Arial" w:cs="Arial"/>
        </w:rPr>
        <w:t xml:space="preserve"> openness on some of the functions, although it doesn’t </w:t>
      </w:r>
      <w:r w:rsidR="00417C0D" w:rsidRPr="00417C0D">
        <w:rPr>
          <w:rFonts w:ascii="Arial" w:hAnsi="Arial" w:cs="Arial"/>
        </w:rPr>
        <w:lastRenderedPageBreak/>
        <w:t xml:space="preserve">mean that it cannot be performed by one entity. It’s in the interest of efficiency to be </w:t>
      </w:r>
      <w:r w:rsidR="00BE5B5B">
        <w:rPr>
          <w:rFonts w:ascii="Arial" w:hAnsi="Arial" w:cs="Arial"/>
        </w:rPr>
        <w:t>d</w:t>
      </w:r>
      <w:r w:rsidR="00417C0D" w:rsidRPr="00417C0D">
        <w:rPr>
          <w:rFonts w:ascii="Arial" w:hAnsi="Arial" w:cs="Arial"/>
        </w:rPr>
        <w:t xml:space="preserve">iscussed and agreed. </w:t>
      </w:r>
      <w:proofErr w:type="spellStart"/>
      <w:r w:rsidR="00417C0D" w:rsidRPr="00417C0D">
        <w:rPr>
          <w:rFonts w:ascii="Arial" w:hAnsi="Arial" w:cs="Arial"/>
        </w:rPr>
        <w:t>Europex</w:t>
      </w:r>
      <w:proofErr w:type="spellEnd"/>
      <w:r w:rsidR="00417C0D" w:rsidRPr="00417C0D">
        <w:rPr>
          <w:rFonts w:ascii="Arial" w:hAnsi="Arial" w:cs="Arial"/>
        </w:rPr>
        <w:t xml:space="preserve"> </w:t>
      </w:r>
      <w:r w:rsidR="00BE5B5B">
        <w:rPr>
          <w:rFonts w:ascii="Arial" w:hAnsi="Arial" w:cs="Arial"/>
        </w:rPr>
        <w:t>c</w:t>
      </w:r>
      <w:r w:rsidR="00417C0D" w:rsidRPr="00417C0D">
        <w:rPr>
          <w:rFonts w:ascii="Arial" w:hAnsi="Arial" w:cs="Arial"/>
        </w:rPr>
        <w:t xml:space="preserve">ould come up with coherent and </w:t>
      </w:r>
      <w:r w:rsidR="00BE5B5B" w:rsidRPr="00BE5B5B">
        <w:rPr>
          <w:rFonts w:ascii="Arial" w:hAnsi="Arial" w:cs="Arial"/>
        </w:rPr>
        <w:t>well-functioning</w:t>
      </w:r>
      <w:r w:rsidR="00417C0D" w:rsidRPr="00417C0D">
        <w:rPr>
          <w:rFonts w:ascii="Arial" w:hAnsi="Arial" w:cs="Arial"/>
        </w:rPr>
        <w:t xml:space="preserve"> solutions for this</w:t>
      </w:r>
      <w:r w:rsidR="00BE5B5B">
        <w:rPr>
          <w:rFonts w:ascii="Arial" w:hAnsi="Arial" w:cs="Arial"/>
        </w:rPr>
        <w:t>.</w:t>
      </w:r>
    </w:p>
    <w:p w:rsidR="00777F8F" w:rsidRDefault="00777F8F" w:rsidP="0037392B">
      <w:pPr>
        <w:rPr>
          <w:rFonts w:ascii="Arial" w:hAnsi="Arial" w:cs="Arial"/>
        </w:rPr>
      </w:pPr>
    </w:p>
    <w:p w:rsidR="005B511B" w:rsidRPr="005B511B" w:rsidRDefault="00023B3A" w:rsidP="0037392B">
      <w:pPr>
        <w:pStyle w:val="ListParagraph"/>
        <w:numPr>
          <w:ilvl w:val="0"/>
          <w:numId w:val="2"/>
        </w:numPr>
        <w:rPr>
          <w:rFonts w:ascii="Arial" w:hAnsi="Arial" w:cs="Arial"/>
          <w:b/>
          <w:lang w:val="en-US"/>
        </w:rPr>
      </w:pPr>
      <w:r>
        <w:rPr>
          <w:rFonts w:ascii="Arial" w:hAnsi="Arial" w:cs="Arial"/>
          <w:b/>
          <w:lang w:val="en-US"/>
        </w:rPr>
        <w:t>Short p</w:t>
      </w:r>
      <w:r w:rsidR="005B511B" w:rsidRPr="005B511B">
        <w:rPr>
          <w:rFonts w:ascii="Arial" w:hAnsi="Arial" w:cs="Arial"/>
          <w:b/>
          <w:lang w:val="en-US"/>
        </w:rPr>
        <w:t xml:space="preserve">resentation of </w:t>
      </w:r>
      <w:r>
        <w:rPr>
          <w:rFonts w:ascii="Arial" w:hAnsi="Arial" w:cs="Arial"/>
          <w:b/>
          <w:lang w:val="en-US"/>
        </w:rPr>
        <w:t xml:space="preserve">updates in </w:t>
      </w:r>
      <w:r w:rsidR="005B511B" w:rsidRPr="005B511B">
        <w:rPr>
          <w:rFonts w:ascii="Arial" w:hAnsi="Arial" w:cs="Arial"/>
          <w:b/>
          <w:lang w:val="en-US"/>
        </w:rPr>
        <w:t>the CC part of the CA&amp;CM Network Code</w:t>
      </w:r>
    </w:p>
    <w:p w:rsidR="0037392B" w:rsidRDefault="00192870" w:rsidP="0037392B">
      <w:pPr>
        <w:jc w:val="both"/>
        <w:rPr>
          <w:rFonts w:ascii="Arial" w:hAnsi="Arial" w:cs="Arial"/>
        </w:rPr>
      </w:pPr>
      <w:r>
        <w:rPr>
          <w:rFonts w:ascii="Arial" w:hAnsi="Arial" w:cs="Arial"/>
        </w:rPr>
        <w:t>ENTSOE</w:t>
      </w:r>
      <w:r w:rsidR="00AD2AB0">
        <w:rPr>
          <w:rFonts w:ascii="Arial" w:hAnsi="Arial" w:cs="Arial"/>
        </w:rPr>
        <w:t xml:space="preserve"> presents slides. The capacity calculation DT thanks for feedback received (it is not yet integrated in the code). Clarification is needed for:</w:t>
      </w:r>
    </w:p>
    <w:p w:rsidR="00AD2AB0" w:rsidRDefault="00AD2AB0" w:rsidP="0037392B">
      <w:pPr>
        <w:jc w:val="both"/>
        <w:rPr>
          <w:rFonts w:ascii="Arial" w:hAnsi="Arial" w:cs="Arial"/>
        </w:rPr>
      </w:pPr>
      <w:r>
        <w:rPr>
          <w:rFonts w:ascii="Arial" w:hAnsi="Arial" w:cs="Arial"/>
        </w:rPr>
        <w:t>Remedial actions: The same range of remedial actions should be considered when calculating cross-border capacities as is used when calculating access rights within Member States.</w:t>
      </w:r>
      <w:r w:rsidR="00333B0B">
        <w:rPr>
          <w:rFonts w:ascii="Arial" w:hAnsi="Arial" w:cs="Arial"/>
        </w:rPr>
        <w:t xml:space="preserve"> </w:t>
      </w:r>
      <w:r>
        <w:rPr>
          <w:rFonts w:ascii="Arial" w:hAnsi="Arial" w:cs="Arial"/>
        </w:rPr>
        <w:t>“Internal grid actions” and “commercial actions”: EFET explains that even a topology change can be costly, whereas some others involving market parties may be relatively cheap. Better differentiation is needed.</w:t>
      </w:r>
    </w:p>
    <w:p w:rsidR="00AD2AB0" w:rsidRDefault="00AD2AB0" w:rsidP="0037392B">
      <w:pPr>
        <w:jc w:val="both"/>
        <w:rPr>
          <w:rFonts w:ascii="Arial" w:hAnsi="Arial" w:cs="Arial"/>
        </w:rPr>
      </w:pPr>
      <w:r>
        <w:rPr>
          <w:rFonts w:ascii="Arial" w:hAnsi="Arial" w:cs="Arial"/>
        </w:rPr>
        <w:t xml:space="preserve">Dynamic stability limits are not ramping constraints. They can limit the capacity during CC, </w:t>
      </w:r>
      <w:r w:rsidR="00324DE3">
        <w:rPr>
          <w:rFonts w:ascii="Arial" w:hAnsi="Arial" w:cs="Arial"/>
        </w:rPr>
        <w:t xml:space="preserve">and define </w:t>
      </w:r>
      <w:r>
        <w:rPr>
          <w:rFonts w:ascii="Arial" w:hAnsi="Arial" w:cs="Arial"/>
        </w:rPr>
        <w:t>maximum import</w:t>
      </w:r>
      <w:r w:rsidR="00324DE3">
        <w:rPr>
          <w:rFonts w:ascii="Arial" w:hAnsi="Arial" w:cs="Arial"/>
        </w:rPr>
        <w:t>/export</w:t>
      </w:r>
      <w:r>
        <w:rPr>
          <w:rFonts w:ascii="Arial" w:hAnsi="Arial" w:cs="Arial"/>
        </w:rPr>
        <w:t xml:space="preserve"> for a bidding zone. EFET asks what that these limits are translated - into flows limits? I.e. how this affects t</w:t>
      </w:r>
      <w:r w:rsidR="00192870">
        <w:rPr>
          <w:rFonts w:ascii="Arial" w:hAnsi="Arial" w:cs="Arial"/>
        </w:rPr>
        <w:t>he final security domain? ENTSOE</w:t>
      </w:r>
      <w:r>
        <w:rPr>
          <w:rFonts w:ascii="Arial" w:hAnsi="Arial" w:cs="Arial"/>
        </w:rPr>
        <w:t xml:space="preserve"> explains that this is an input for the calculation</w:t>
      </w:r>
      <w:r w:rsidR="00324DE3">
        <w:rPr>
          <w:rFonts w:ascii="Arial" w:hAnsi="Arial" w:cs="Arial"/>
        </w:rPr>
        <w:t xml:space="preserve"> if physics of power system require such limits</w:t>
      </w:r>
      <w:r>
        <w:rPr>
          <w:rFonts w:ascii="Arial" w:hAnsi="Arial" w:cs="Arial"/>
        </w:rPr>
        <w:t>.  EFET expresses the concern that dynamic limits might become a black box</w:t>
      </w:r>
      <w:r w:rsidR="00C969C9">
        <w:rPr>
          <w:rFonts w:ascii="Arial" w:hAnsi="Arial" w:cs="Arial"/>
        </w:rPr>
        <w:t xml:space="preserve"> for stakeholders.</w:t>
      </w:r>
      <w:r w:rsidR="00192870">
        <w:rPr>
          <w:rFonts w:ascii="Arial" w:hAnsi="Arial" w:cs="Arial"/>
        </w:rPr>
        <w:t xml:space="preserve"> ENTSOE</w:t>
      </w:r>
      <w:r w:rsidR="00E72C80">
        <w:rPr>
          <w:rFonts w:ascii="Arial" w:hAnsi="Arial" w:cs="Arial"/>
        </w:rPr>
        <w:t xml:space="preserve"> says that th</w:t>
      </w:r>
      <w:r w:rsidR="00192870">
        <w:rPr>
          <w:rFonts w:ascii="Arial" w:hAnsi="Arial" w:cs="Arial"/>
        </w:rPr>
        <w:t>ese limits</w:t>
      </w:r>
      <w:r w:rsidR="00324DE3">
        <w:rPr>
          <w:rFonts w:ascii="Arial" w:hAnsi="Arial" w:cs="Arial"/>
        </w:rPr>
        <w:t xml:space="preserve"> will be treated like other constraints defined in the code</w:t>
      </w:r>
      <w:r w:rsidR="00E72C80">
        <w:rPr>
          <w:rFonts w:ascii="Arial" w:hAnsi="Arial" w:cs="Arial"/>
        </w:rPr>
        <w:t>.</w:t>
      </w:r>
    </w:p>
    <w:p w:rsidR="00E72C80" w:rsidRDefault="00E72C80" w:rsidP="0037392B">
      <w:pPr>
        <w:jc w:val="both"/>
        <w:rPr>
          <w:rFonts w:ascii="Arial" w:hAnsi="Arial" w:cs="Arial"/>
        </w:rPr>
      </w:pPr>
      <w:proofErr w:type="spellStart"/>
      <w:r>
        <w:rPr>
          <w:rFonts w:ascii="Arial" w:hAnsi="Arial" w:cs="Arial"/>
        </w:rPr>
        <w:t>Fal</w:t>
      </w:r>
      <w:r w:rsidR="00192870">
        <w:rPr>
          <w:rFonts w:ascii="Arial" w:hAnsi="Arial" w:cs="Arial"/>
        </w:rPr>
        <w:t>lback</w:t>
      </w:r>
      <w:proofErr w:type="spellEnd"/>
      <w:r w:rsidR="00192870">
        <w:rPr>
          <w:rFonts w:ascii="Arial" w:hAnsi="Arial" w:cs="Arial"/>
        </w:rPr>
        <w:t xml:space="preserve"> if FB doesn’t work: ENTSOE</w:t>
      </w:r>
      <w:r>
        <w:rPr>
          <w:rFonts w:ascii="Arial" w:hAnsi="Arial" w:cs="Arial"/>
        </w:rPr>
        <w:t xml:space="preserve"> explains that ATC is indeed the natural </w:t>
      </w:r>
      <w:proofErr w:type="spellStart"/>
      <w:r>
        <w:rPr>
          <w:rFonts w:ascii="Arial" w:hAnsi="Arial" w:cs="Arial"/>
        </w:rPr>
        <w:t>fallback</w:t>
      </w:r>
      <w:proofErr w:type="spellEnd"/>
      <w:r w:rsidR="00147011">
        <w:rPr>
          <w:rFonts w:ascii="Arial" w:hAnsi="Arial" w:cs="Arial"/>
        </w:rPr>
        <w:t xml:space="preserve"> solution</w:t>
      </w:r>
      <w:r>
        <w:rPr>
          <w:rFonts w:ascii="Arial" w:hAnsi="Arial" w:cs="Arial"/>
        </w:rPr>
        <w:t>.</w:t>
      </w:r>
    </w:p>
    <w:p w:rsidR="00333B0B" w:rsidRDefault="00E72C80" w:rsidP="0037392B">
      <w:pPr>
        <w:jc w:val="both"/>
        <w:rPr>
          <w:rFonts w:ascii="Arial" w:hAnsi="Arial" w:cs="Arial"/>
        </w:rPr>
      </w:pPr>
      <w:r>
        <w:rPr>
          <w:rFonts w:ascii="Arial" w:hAnsi="Arial" w:cs="Arial"/>
        </w:rPr>
        <w:t>Guarantee that FB will off</w:t>
      </w:r>
      <w:r w:rsidR="00192870">
        <w:rPr>
          <w:rFonts w:ascii="Arial" w:hAnsi="Arial" w:cs="Arial"/>
        </w:rPr>
        <w:t xml:space="preserve">er more capacity and </w:t>
      </w:r>
      <w:proofErr w:type="gramStart"/>
      <w:r w:rsidR="00192870">
        <w:rPr>
          <w:rFonts w:ascii="Arial" w:hAnsi="Arial" w:cs="Arial"/>
        </w:rPr>
        <w:t>SoS</w:t>
      </w:r>
      <w:proofErr w:type="gramEnd"/>
      <w:r w:rsidR="00192870">
        <w:rPr>
          <w:rFonts w:ascii="Arial" w:hAnsi="Arial" w:cs="Arial"/>
        </w:rPr>
        <w:t>: ENTSOE</w:t>
      </w:r>
      <w:r>
        <w:rPr>
          <w:rFonts w:ascii="Arial" w:hAnsi="Arial" w:cs="Arial"/>
        </w:rPr>
        <w:t xml:space="preserve"> says that this requirement is nothing new</w:t>
      </w:r>
      <w:r w:rsidR="00324DE3">
        <w:rPr>
          <w:rFonts w:ascii="Arial" w:hAnsi="Arial" w:cs="Arial"/>
        </w:rPr>
        <w:t xml:space="preserve"> and has been already discussed during AHAG work</w:t>
      </w:r>
      <w:r>
        <w:rPr>
          <w:rFonts w:ascii="Arial" w:hAnsi="Arial" w:cs="Arial"/>
        </w:rPr>
        <w:t>.</w:t>
      </w:r>
    </w:p>
    <w:p w:rsidR="00CD662D" w:rsidRDefault="00CD662D" w:rsidP="0037392B">
      <w:pPr>
        <w:jc w:val="both"/>
        <w:rPr>
          <w:rFonts w:ascii="Arial" w:hAnsi="Arial" w:cs="Arial"/>
        </w:rPr>
      </w:pPr>
    </w:p>
    <w:p w:rsidR="005B511B" w:rsidRPr="005B511B" w:rsidRDefault="005B511B" w:rsidP="0037392B">
      <w:pPr>
        <w:pStyle w:val="ListParagraph"/>
        <w:numPr>
          <w:ilvl w:val="0"/>
          <w:numId w:val="2"/>
        </w:numPr>
        <w:rPr>
          <w:rFonts w:ascii="Arial" w:hAnsi="Arial" w:cs="Arial"/>
          <w:b/>
          <w:lang w:val="en-US"/>
        </w:rPr>
      </w:pPr>
      <w:r w:rsidRPr="005B511B">
        <w:rPr>
          <w:rFonts w:ascii="Arial" w:hAnsi="Arial" w:cs="Arial"/>
          <w:b/>
          <w:lang w:val="en-US"/>
        </w:rPr>
        <w:t xml:space="preserve">Stakeholders’ main comments </w:t>
      </w:r>
      <w:r w:rsidR="00023B3A">
        <w:rPr>
          <w:rFonts w:ascii="Arial" w:hAnsi="Arial" w:cs="Arial"/>
          <w:b/>
          <w:lang w:val="en-US"/>
        </w:rPr>
        <w:t>on</w:t>
      </w:r>
      <w:r w:rsidRPr="005B511B">
        <w:rPr>
          <w:rFonts w:ascii="Arial" w:hAnsi="Arial" w:cs="Arial"/>
          <w:b/>
          <w:lang w:val="en-US"/>
        </w:rPr>
        <w:t xml:space="preserve"> </w:t>
      </w:r>
      <w:r w:rsidR="00023B3A">
        <w:rPr>
          <w:rFonts w:ascii="Arial" w:hAnsi="Arial" w:cs="Arial"/>
          <w:b/>
          <w:lang w:val="en-US"/>
        </w:rPr>
        <w:t>bidding zones, common discussion</w:t>
      </w:r>
    </w:p>
    <w:p w:rsidR="00023B3A" w:rsidRDefault="00EC4072" w:rsidP="00023B3A">
      <w:pPr>
        <w:jc w:val="both"/>
        <w:rPr>
          <w:rFonts w:ascii="Arial" w:hAnsi="Arial" w:cs="Arial"/>
        </w:rPr>
      </w:pPr>
      <w:r>
        <w:rPr>
          <w:rFonts w:ascii="Arial" w:hAnsi="Arial" w:cs="Arial"/>
        </w:rPr>
        <w:t>Eurelectric asks how the interaction with trading time frames is ensured. Moreover, the process of assessing bidding zones is complicated. Definitions (inconsistencies) and reasoning are unclear.</w:t>
      </w:r>
    </w:p>
    <w:p w:rsidR="00EC4072" w:rsidRDefault="006B2EAC" w:rsidP="00023B3A">
      <w:pPr>
        <w:jc w:val="both"/>
        <w:rPr>
          <w:rFonts w:ascii="Arial" w:hAnsi="Arial" w:cs="Arial"/>
        </w:rPr>
      </w:pPr>
      <w:r>
        <w:rPr>
          <w:rFonts w:ascii="Arial" w:hAnsi="Arial" w:cs="Arial"/>
        </w:rPr>
        <w:t xml:space="preserve">EFET emphasizes that the code is not balanced regarding zones. For example, </w:t>
      </w:r>
      <w:r w:rsidR="00AD6088" w:rsidRPr="00880099">
        <w:rPr>
          <w:rFonts w:ascii="Arial" w:hAnsi="Arial" w:cs="Arial"/>
        </w:rPr>
        <w:t>it implies that as soon as congestions are structural there is a need to split zones</w:t>
      </w:r>
      <w:r w:rsidR="00AD6088">
        <w:rPr>
          <w:rFonts w:ascii="Arial" w:hAnsi="Arial" w:cs="Arial"/>
        </w:rPr>
        <w:t xml:space="preserve">. </w:t>
      </w:r>
      <w:r w:rsidR="00AD6088" w:rsidRPr="00880099">
        <w:rPr>
          <w:rFonts w:ascii="Arial" w:hAnsi="Arial" w:cs="Arial"/>
        </w:rPr>
        <w:t xml:space="preserve">Not only a list of structural congestion is useful </w:t>
      </w:r>
      <w:r w:rsidR="00AD6088">
        <w:rPr>
          <w:rFonts w:ascii="Arial" w:hAnsi="Arial" w:cs="Arial"/>
        </w:rPr>
        <w:t>but</w:t>
      </w:r>
      <w:r w:rsidR="008D23B0">
        <w:rPr>
          <w:rFonts w:ascii="Arial" w:hAnsi="Arial" w:cs="Arial"/>
        </w:rPr>
        <w:t xml:space="preserve"> a list of borders which are not congested should be included into the code too</w:t>
      </w:r>
      <w:r>
        <w:rPr>
          <w:rFonts w:ascii="Arial" w:hAnsi="Arial" w:cs="Arial"/>
        </w:rPr>
        <w:t xml:space="preserve">. </w:t>
      </w:r>
      <w:r w:rsidR="0019448E">
        <w:rPr>
          <w:rFonts w:ascii="Arial" w:hAnsi="Arial" w:cs="Arial"/>
        </w:rPr>
        <w:t xml:space="preserve">The </w:t>
      </w:r>
      <w:r>
        <w:rPr>
          <w:rFonts w:ascii="Arial" w:hAnsi="Arial" w:cs="Arial"/>
        </w:rPr>
        <w:t xml:space="preserve">FG requires, however, overall market efficiency (and not congestion efficiency). </w:t>
      </w:r>
      <w:r w:rsidR="002D1E8F">
        <w:rPr>
          <w:rFonts w:ascii="Arial" w:hAnsi="Arial" w:cs="Arial"/>
        </w:rPr>
        <w:t>“New delimitation” should be used instead of “new bidding zones</w:t>
      </w:r>
      <w:proofErr w:type="gramStart"/>
      <w:r w:rsidR="002D1E8F">
        <w:rPr>
          <w:rFonts w:ascii="Arial" w:hAnsi="Arial" w:cs="Arial"/>
        </w:rPr>
        <w:t>”</w:t>
      </w:r>
      <w:r w:rsidR="005E6692">
        <w:rPr>
          <w:rFonts w:ascii="Arial" w:hAnsi="Arial" w:cs="Arial"/>
        </w:rPr>
        <w:t xml:space="preserve"> ,</w:t>
      </w:r>
      <w:proofErr w:type="gramEnd"/>
      <w:r w:rsidR="005E6692">
        <w:rPr>
          <w:rFonts w:ascii="Arial" w:hAnsi="Arial" w:cs="Arial"/>
        </w:rPr>
        <w:t xml:space="preserve"> i.e. make clear new zones doesn’t automatically mean smaller zones</w:t>
      </w:r>
      <w:r w:rsidR="002D1E8F">
        <w:rPr>
          <w:rFonts w:ascii="Arial" w:hAnsi="Arial" w:cs="Arial"/>
        </w:rPr>
        <w:t xml:space="preserve">. </w:t>
      </w:r>
      <w:r w:rsidR="0019448E">
        <w:rPr>
          <w:rFonts w:ascii="Arial" w:hAnsi="Arial" w:cs="Arial"/>
        </w:rPr>
        <w:t xml:space="preserve">Firmness cost is mentioned in the code. Probably, the costs for TSOs are meant. But, the costs for society are not mentioned. Technical and market report for regulators: </w:t>
      </w:r>
      <w:r w:rsidR="008D23B0">
        <w:rPr>
          <w:rFonts w:ascii="Arial" w:hAnsi="Arial" w:cs="Arial"/>
        </w:rPr>
        <w:t>this could open the door for not transparent discussion on zone delimitations.</w:t>
      </w:r>
      <w:r w:rsidR="00FF5337">
        <w:rPr>
          <w:rFonts w:ascii="Arial" w:hAnsi="Arial" w:cs="Arial"/>
        </w:rPr>
        <w:t xml:space="preserve"> There is no point in the report related to market efficiency.</w:t>
      </w:r>
    </w:p>
    <w:p w:rsidR="00FF5337" w:rsidRDefault="00FF5337" w:rsidP="00023B3A">
      <w:pPr>
        <w:jc w:val="both"/>
        <w:rPr>
          <w:rFonts w:ascii="Arial" w:hAnsi="Arial" w:cs="Arial"/>
        </w:rPr>
      </w:pPr>
      <w:r>
        <w:rPr>
          <w:rFonts w:ascii="Arial" w:hAnsi="Arial" w:cs="Arial"/>
        </w:rPr>
        <w:lastRenderedPageBreak/>
        <w:t xml:space="preserve">The role of regulators in the code is being discussed. ACER says that the </w:t>
      </w:r>
      <w:proofErr w:type="gramStart"/>
      <w:r w:rsidR="00324DE3">
        <w:rPr>
          <w:rFonts w:ascii="Arial" w:hAnsi="Arial" w:cs="Arial"/>
        </w:rPr>
        <w:t xml:space="preserve">biannual </w:t>
      </w:r>
      <w:r>
        <w:rPr>
          <w:rFonts w:ascii="Arial" w:hAnsi="Arial" w:cs="Arial"/>
        </w:rPr>
        <w:t xml:space="preserve"> </w:t>
      </w:r>
      <w:r w:rsidR="00324DE3">
        <w:rPr>
          <w:rFonts w:ascii="Arial" w:hAnsi="Arial" w:cs="Arial"/>
        </w:rPr>
        <w:t>report</w:t>
      </w:r>
      <w:proofErr w:type="gramEnd"/>
      <w:r w:rsidR="00324DE3">
        <w:rPr>
          <w:rFonts w:ascii="Arial" w:hAnsi="Arial" w:cs="Arial"/>
        </w:rPr>
        <w:t xml:space="preserve"> </w:t>
      </w:r>
      <w:r>
        <w:rPr>
          <w:rFonts w:ascii="Arial" w:hAnsi="Arial" w:cs="Arial"/>
        </w:rPr>
        <w:t>of delimitations is a task given to regulators</w:t>
      </w:r>
      <w:r w:rsidR="00D72AD2">
        <w:rPr>
          <w:rFonts w:ascii="Arial" w:hAnsi="Arial" w:cs="Arial"/>
        </w:rPr>
        <w:t xml:space="preserve"> under the FG</w:t>
      </w:r>
      <w:r>
        <w:rPr>
          <w:rFonts w:ascii="Arial" w:hAnsi="Arial" w:cs="Arial"/>
        </w:rPr>
        <w:t xml:space="preserve">, but this evaluation will be done on the basis of input from TSOs and power exchanges (regulators have no man power for </w:t>
      </w:r>
      <w:r w:rsidR="00033FB3">
        <w:rPr>
          <w:rFonts w:ascii="Arial" w:hAnsi="Arial" w:cs="Arial"/>
        </w:rPr>
        <w:t>doing more), i.</w:t>
      </w:r>
      <w:r>
        <w:rPr>
          <w:rFonts w:ascii="Arial" w:hAnsi="Arial" w:cs="Arial"/>
        </w:rPr>
        <w:t>e. the regulators will take positions on the basis of the input.</w:t>
      </w:r>
    </w:p>
    <w:p w:rsidR="000E0CEC" w:rsidRDefault="000E0CEC" w:rsidP="00023B3A">
      <w:pPr>
        <w:jc w:val="both"/>
        <w:rPr>
          <w:rFonts w:ascii="Arial" w:hAnsi="Arial" w:cs="Arial"/>
        </w:rPr>
      </w:pPr>
      <w:r>
        <w:rPr>
          <w:rFonts w:ascii="Arial" w:hAnsi="Arial" w:cs="Arial"/>
        </w:rPr>
        <w:t xml:space="preserve">Matti asks whether we need NTC in capacity calculation at all (once the FB method is well developed). The FB is not described in detail in the draft code. The longer term capacity calculation: forward code is pending, but it will only cover the physical </w:t>
      </w:r>
      <w:r w:rsidR="0016127F">
        <w:rPr>
          <w:rFonts w:ascii="Arial" w:hAnsi="Arial" w:cs="Arial"/>
        </w:rPr>
        <w:t xml:space="preserve">and </w:t>
      </w:r>
      <w:r>
        <w:rPr>
          <w:rFonts w:ascii="Arial" w:hAnsi="Arial" w:cs="Arial"/>
        </w:rPr>
        <w:t>financial</w:t>
      </w:r>
      <w:r w:rsidR="0016127F">
        <w:rPr>
          <w:rFonts w:ascii="Arial" w:hAnsi="Arial" w:cs="Arial"/>
        </w:rPr>
        <w:t xml:space="preserve"> transmission rights</w:t>
      </w:r>
      <w:r>
        <w:rPr>
          <w:rFonts w:ascii="Arial" w:hAnsi="Arial" w:cs="Arial"/>
        </w:rPr>
        <w:t xml:space="preserve">. Therefore, other issues related to forward should be reflected in the present code. Zone delimitation: when reading the draft code one gets the feeling that with the proposed </w:t>
      </w:r>
      <w:r w:rsidR="00D72AD2">
        <w:rPr>
          <w:rFonts w:ascii="Arial" w:hAnsi="Arial" w:cs="Arial"/>
        </w:rPr>
        <w:t xml:space="preserve">process </w:t>
      </w:r>
      <w:r>
        <w:rPr>
          <w:rFonts w:ascii="Arial" w:hAnsi="Arial" w:cs="Arial"/>
        </w:rPr>
        <w:t>zone</w:t>
      </w:r>
      <w:r w:rsidR="00D72AD2">
        <w:rPr>
          <w:rFonts w:ascii="Arial" w:hAnsi="Arial" w:cs="Arial"/>
        </w:rPr>
        <w:t xml:space="preserve"> delimitations will be difficult to change</w:t>
      </w:r>
      <w:r>
        <w:rPr>
          <w:rFonts w:ascii="Arial" w:hAnsi="Arial" w:cs="Arial"/>
        </w:rPr>
        <w:t xml:space="preserve">. </w:t>
      </w:r>
      <w:r w:rsidR="00E7497F">
        <w:rPr>
          <w:rFonts w:ascii="Arial" w:hAnsi="Arial" w:cs="Arial"/>
        </w:rPr>
        <w:t>As n</w:t>
      </w:r>
      <w:r>
        <w:rPr>
          <w:rFonts w:ascii="Arial" w:hAnsi="Arial" w:cs="Arial"/>
        </w:rPr>
        <w:t>ational r</w:t>
      </w:r>
      <w:r w:rsidR="00E7497F">
        <w:rPr>
          <w:rFonts w:ascii="Arial" w:hAnsi="Arial" w:cs="Arial"/>
        </w:rPr>
        <w:t>egulators have the veto right, t</w:t>
      </w:r>
      <w:r>
        <w:rPr>
          <w:rFonts w:ascii="Arial" w:hAnsi="Arial" w:cs="Arial"/>
        </w:rPr>
        <w:t xml:space="preserve">his </w:t>
      </w:r>
      <w:r w:rsidR="00E7497F">
        <w:rPr>
          <w:rFonts w:ascii="Arial" w:hAnsi="Arial" w:cs="Arial"/>
        </w:rPr>
        <w:t xml:space="preserve">situation </w:t>
      </w:r>
      <w:r>
        <w:rPr>
          <w:rFonts w:ascii="Arial" w:hAnsi="Arial" w:cs="Arial"/>
        </w:rPr>
        <w:t>will always inevitably lead to ACER decision.</w:t>
      </w:r>
      <w:r w:rsidR="00E7497F">
        <w:rPr>
          <w:rFonts w:ascii="Arial" w:hAnsi="Arial" w:cs="Arial"/>
        </w:rPr>
        <w:t xml:space="preserve"> </w:t>
      </w:r>
    </w:p>
    <w:p w:rsidR="008D23B0" w:rsidRDefault="00BD43FF" w:rsidP="00023B3A">
      <w:pPr>
        <w:jc w:val="both"/>
        <w:rPr>
          <w:rFonts w:ascii="Arial" w:hAnsi="Arial" w:cs="Arial"/>
          <w:lang w:val="en-US"/>
        </w:rPr>
      </w:pPr>
      <w:r>
        <w:rPr>
          <w:rFonts w:ascii="Arial" w:hAnsi="Arial" w:cs="Arial"/>
        </w:rPr>
        <w:t>ENTSOE</w:t>
      </w:r>
      <w:r w:rsidR="00A913EC">
        <w:rPr>
          <w:rFonts w:ascii="Arial" w:hAnsi="Arial" w:cs="Arial"/>
          <w:lang w:val="en-US"/>
        </w:rPr>
        <w:t xml:space="preserve"> says that not all parts of</w:t>
      </w:r>
      <w:r>
        <w:rPr>
          <w:rFonts w:ascii="Arial" w:hAnsi="Arial" w:cs="Arial"/>
          <w:lang w:val="en-US"/>
        </w:rPr>
        <w:t xml:space="preserve"> Europe are ready to move to FB and </w:t>
      </w:r>
      <w:r w:rsidR="003422E3">
        <w:rPr>
          <w:rFonts w:ascii="Arial" w:hAnsi="Arial" w:cs="Arial"/>
          <w:lang w:val="en-US"/>
        </w:rPr>
        <w:t xml:space="preserve">that both methods shall be described in the code according to FG. </w:t>
      </w:r>
      <w:r>
        <w:rPr>
          <w:rFonts w:ascii="Arial" w:hAnsi="Arial" w:cs="Arial"/>
          <w:lang w:val="en-US"/>
        </w:rPr>
        <w:t>ENTSOE</w:t>
      </w:r>
      <w:r w:rsidR="003A1566">
        <w:rPr>
          <w:rFonts w:ascii="Arial" w:hAnsi="Arial" w:cs="Arial"/>
          <w:lang w:val="en-US"/>
        </w:rPr>
        <w:t xml:space="preserve"> reminds that the matter of long term was discussed in DTs. It was, however, decided to limi</w:t>
      </w:r>
      <w:r>
        <w:rPr>
          <w:rFonts w:ascii="Arial" w:hAnsi="Arial" w:cs="Arial"/>
          <w:lang w:val="en-US"/>
        </w:rPr>
        <w:t xml:space="preserve">t </w:t>
      </w:r>
      <w:r w:rsidR="0016127F">
        <w:rPr>
          <w:rFonts w:ascii="Arial" w:hAnsi="Arial" w:cs="Arial"/>
          <w:lang w:val="en-US"/>
        </w:rPr>
        <w:t xml:space="preserve">present draft code </w:t>
      </w:r>
      <w:r>
        <w:rPr>
          <w:rFonts w:ascii="Arial" w:hAnsi="Arial" w:cs="Arial"/>
          <w:lang w:val="en-US"/>
        </w:rPr>
        <w:t>to DA and ID. ENTSOE</w:t>
      </w:r>
      <w:r w:rsidR="003A1566">
        <w:rPr>
          <w:rFonts w:ascii="Arial" w:hAnsi="Arial" w:cs="Arial"/>
          <w:lang w:val="en-US"/>
        </w:rPr>
        <w:t xml:space="preserve"> stresses that the draft code is long term compliant. The long term </w:t>
      </w:r>
      <w:r w:rsidR="00D72AD2">
        <w:rPr>
          <w:rFonts w:ascii="Arial" w:hAnsi="Arial" w:cs="Arial"/>
          <w:lang w:val="en-US"/>
        </w:rPr>
        <w:t>code will be developed upon receipt of the accordant invitation letter from the EC</w:t>
      </w:r>
      <w:r w:rsidR="003A1566">
        <w:rPr>
          <w:rFonts w:ascii="Arial" w:hAnsi="Arial" w:cs="Arial"/>
          <w:lang w:val="en-US"/>
        </w:rPr>
        <w:t>.</w:t>
      </w:r>
      <w:r w:rsidR="00D72AD2">
        <w:rPr>
          <w:rFonts w:ascii="Arial" w:hAnsi="Arial" w:cs="Arial"/>
          <w:lang w:val="en-US"/>
        </w:rPr>
        <w:t xml:space="preserve"> The current letter only calls for the development of short term rights (DA and ID).</w:t>
      </w:r>
      <w:r w:rsidR="005931BD">
        <w:rPr>
          <w:rFonts w:ascii="Arial" w:hAnsi="Arial" w:cs="Arial"/>
          <w:lang w:val="en-US"/>
        </w:rPr>
        <w:t xml:space="preserve"> The participants say that the FG requires a harmonized approach </w:t>
      </w:r>
      <w:r>
        <w:rPr>
          <w:rFonts w:ascii="Arial" w:hAnsi="Arial" w:cs="Arial"/>
          <w:lang w:val="en-US"/>
        </w:rPr>
        <w:t>for different time frames. ENTSOE</w:t>
      </w:r>
      <w:r w:rsidR="005931BD">
        <w:rPr>
          <w:rFonts w:ascii="Arial" w:hAnsi="Arial" w:cs="Arial"/>
          <w:lang w:val="en-US"/>
        </w:rPr>
        <w:t xml:space="preserve"> recalls that the data </w:t>
      </w:r>
      <w:r w:rsidR="0016127F">
        <w:rPr>
          <w:rFonts w:ascii="Arial" w:hAnsi="Arial" w:cs="Arial"/>
          <w:lang w:val="en-US"/>
        </w:rPr>
        <w:t xml:space="preserve">and firmness </w:t>
      </w:r>
      <w:r w:rsidR="005931BD">
        <w:rPr>
          <w:rFonts w:ascii="Arial" w:hAnsi="Arial" w:cs="Arial"/>
          <w:lang w:val="en-US"/>
        </w:rPr>
        <w:t>issue</w:t>
      </w:r>
      <w:r w:rsidR="0016127F">
        <w:rPr>
          <w:rFonts w:ascii="Arial" w:hAnsi="Arial" w:cs="Arial"/>
          <w:lang w:val="en-US"/>
        </w:rPr>
        <w:t>s</w:t>
      </w:r>
      <w:r w:rsidR="005931BD">
        <w:rPr>
          <w:rFonts w:ascii="Arial" w:hAnsi="Arial" w:cs="Arial"/>
          <w:lang w:val="en-US"/>
        </w:rPr>
        <w:t xml:space="preserve"> </w:t>
      </w:r>
      <w:r w:rsidR="0016127F">
        <w:rPr>
          <w:rFonts w:ascii="Arial" w:hAnsi="Arial" w:cs="Arial"/>
          <w:lang w:val="en-US"/>
        </w:rPr>
        <w:t>are</w:t>
      </w:r>
      <w:r w:rsidR="00CD662D">
        <w:rPr>
          <w:rFonts w:ascii="Arial" w:hAnsi="Arial" w:cs="Arial"/>
          <w:lang w:val="en-US"/>
        </w:rPr>
        <w:t xml:space="preserve"> </w:t>
      </w:r>
      <w:r w:rsidR="005931BD">
        <w:rPr>
          <w:rFonts w:ascii="Arial" w:hAnsi="Arial" w:cs="Arial"/>
          <w:lang w:val="en-US"/>
        </w:rPr>
        <w:t>the most challenging when dealing with long term.</w:t>
      </w:r>
      <w:r w:rsidR="00D72AD2">
        <w:rPr>
          <w:rFonts w:ascii="Arial" w:hAnsi="Arial" w:cs="Arial"/>
          <w:lang w:val="en-US"/>
        </w:rPr>
        <w:t xml:space="preserve"> </w:t>
      </w:r>
    </w:p>
    <w:p w:rsidR="00A913EC" w:rsidRDefault="003A0E09" w:rsidP="00023B3A">
      <w:pPr>
        <w:jc w:val="both"/>
        <w:rPr>
          <w:rFonts w:ascii="Arial" w:hAnsi="Arial" w:cs="Arial"/>
          <w:lang w:val="en-US"/>
        </w:rPr>
      </w:pPr>
      <w:proofErr w:type="spellStart"/>
      <w:r>
        <w:rPr>
          <w:rFonts w:ascii="Arial" w:hAnsi="Arial" w:cs="Arial"/>
          <w:lang w:val="en-US"/>
        </w:rPr>
        <w:t>Europex</w:t>
      </w:r>
      <w:proofErr w:type="spellEnd"/>
      <w:r>
        <w:rPr>
          <w:rFonts w:ascii="Arial" w:hAnsi="Arial" w:cs="Arial"/>
          <w:lang w:val="en-US"/>
        </w:rPr>
        <w:t xml:space="preserve">: there is a two layers pricing approach in some countries (like </w:t>
      </w:r>
      <w:r w:rsidR="0016127F">
        <w:rPr>
          <w:rFonts w:ascii="Arial" w:hAnsi="Arial" w:cs="Arial"/>
          <w:lang w:val="en-US"/>
        </w:rPr>
        <w:t xml:space="preserve">in </w:t>
      </w:r>
      <w:r>
        <w:rPr>
          <w:rFonts w:ascii="Arial" w:hAnsi="Arial" w:cs="Arial"/>
          <w:lang w:val="en-US"/>
        </w:rPr>
        <w:t>Italy). This should be clarified in the definitions. A differentiation between market efficiency and social welfare is necessary at bidding zones. As to consultation process, market operators should be involved too.</w:t>
      </w:r>
      <w:r w:rsidR="001573E0">
        <w:rPr>
          <w:rFonts w:ascii="Arial" w:hAnsi="Arial" w:cs="Arial"/>
          <w:lang w:val="en-US"/>
        </w:rPr>
        <w:t xml:space="preserve"> </w:t>
      </w:r>
      <w:proofErr w:type="spellStart"/>
      <w:r w:rsidR="005E6692">
        <w:rPr>
          <w:rFonts w:ascii="Arial" w:hAnsi="Arial" w:cs="Arial"/>
          <w:lang w:val="en-US"/>
        </w:rPr>
        <w:t>Europex</w:t>
      </w:r>
      <w:proofErr w:type="spellEnd"/>
      <w:r w:rsidR="005E6692">
        <w:rPr>
          <w:rFonts w:ascii="Arial" w:hAnsi="Arial" w:cs="Arial"/>
          <w:lang w:val="en-US"/>
        </w:rPr>
        <w:t xml:space="preserve"> doubts the usefulness of historical data for zone delimitation. As example, if </w:t>
      </w:r>
      <w:r w:rsidR="001573E0">
        <w:rPr>
          <w:rFonts w:ascii="Arial" w:hAnsi="Arial" w:cs="Arial"/>
          <w:lang w:val="en-US"/>
        </w:rPr>
        <w:t>there is no capacity at all, there are no costs (because there is no congestion revenue</w:t>
      </w:r>
      <w:r w:rsidR="005E6692">
        <w:rPr>
          <w:rFonts w:ascii="Arial" w:hAnsi="Arial" w:cs="Arial"/>
          <w:lang w:val="en-US"/>
        </w:rPr>
        <w:t xml:space="preserve"> – which is misleading</w:t>
      </w:r>
      <w:r w:rsidR="001573E0">
        <w:rPr>
          <w:rFonts w:ascii="Arial" w:hAnsi="Arial" w:cs="Arial"/>
          <w:lang w:val="en-US"/>
        </w:rPr>
        <w:t>), but the loss for the society is large.</w:t>
      </w:r>
      <w:r w:rsidR="00EB642E">
        <w:rPr>
          <w:rFonts w:ascii="Arial" w:hAnsi="Arial" w:cs="Arial"/>
          <w:lang w:val="en-US"/>
        </w:rPr>
        <w:t xml:space="preserve"> Moreover, some costs may be hidden.</w:t>
      </w:r>
    </w:p>
    <w:p w:rsidR="00CD662D" w:rsidRPr="00023B3A" w:rsidRDefault="00CD662D" w:rsidP="00023B3A">
      <w:pPr>
        <w:jc w:val="both"/>
        <w:rPr>
          <w:rFonts w:ascii="Arial" w:hAnsi="Arial" w:cs="Arial"/>
          <w:lang w:val="en-US"/>
        </w:rPr>
      </w:pPr>
    </w:p>
    <w:p w:rsidR="00023B3A" w:rsidRPr="00023B3A" w:rsidRDefault="00023B3A" w:rsidP="00023B3A">
      <w:pPr>
        <w:pStyle w:val="ListParagraph"/>
        <w:numPr>
          <w:ilvl w:val="0"/>
          <w:numId w:val="2"/>
        </w:numPr>
        <w:rPr>
          <w:rFonts w:ascii="Arial" w:hAnsi="Arial" w:cs="Arial"/>
          <w:b/>
          <w:lang w:val="en-US"/>
        </w:rPr>
      </w:pPr>
      <w:r w:rsidRPr="00023B3A">
        <w:rPr>
          <w:rFonts w:ascii="Arial" w:hAnsi="Arial" w:cs="Arial"/>
          <w:b/>
          <w:lang w:val="en-US"/>
        </w:rPr>
        <w:t xml:space="preserve"> Information/discussion on other issues in the CACM NC</w:t>
      </w:r>
    </w:p>
    <w:p w:rsidR="0037392B" w:rsidRDefault="00FB0BB4" w:rsidP="00023B3A">
      <w:pPr>
        <w:rPr>
          <w:rFonts w:ascii="Arial" w:hAnsi="Arial" w:cs="Arial"/>
          <w:lang w:val="en-US"/>
        </w:rPr>
      </w:pPr>
      <w:r>
        <w:rPr>
          <w:rFonts w:ascii="Arial" w:hAnsi="Arial" w:cs="Arial"/>
          <w:lang w:val="en-US"/>
        </w:rPr>
        <w:t>ENTSOE says that Stakeholders haven’t seen the common section about firmness yet as it is still under development. ENTSOE</w:t>
      </w:r>
      <w:r w:rsidR="00AD0FA6">
        <w:rPr>
          <w:rFonts w:ascii="Arial" w:hAnsi="Arial" w:cs="Arial"/>
          <w:lang w:val="en-US"/>
        </w:rPr>
        <w:t xml:space="preserve"> gives explanations related to full physical firmness. </w:t>
      </w:r>
      <w:r w:rsidR="00D72AD2">
        <w:rPr>
          <w:rFonts w:ascii="Arial" w:hAnsi="Arial" w:cs="Arial"/>
          <w:lang w:val="en-US"/>
        </w:rPr>
        <w:t>In this context, t</w:t>
      </w:r>
      <w:r w:rsidR="00880099">
        <w:rPr>
          <w:rFonts w:ascii="Arial" w:hAnsi="Arial" w:cs="Arial"/>
          <w:lang w:val="en-US"/>
        </w:rPr>
        <w:t>he definition of</w:t>
      </w:r>
      <w:r w:rsidR="005C508A">
        <w:rPr>
          <w:rFonts w:ascii="Arial" w:hAnsi="Arial" w:cs="Arial"/>
          <w:lang w:val="en-US"/>
        </w:rPr>
        <w:t xml:space="preserve"> force majeure</w:t>
      </w:r>
      <w:r w:rsidR="00880099">
        <w:rPr>
          <w:rFonts w:ascii="Arial" w:hAnsi="Arial" w:cs="Arial"/>
          <w:lang w:val="en-US"/>
        </w:rPr>
        <w:t xml:space="preserve"> will be harmonized in the code.</w:t>
      </w:r>
      <w:r w:rsidR="00880099" w:rsidRPr="00880099">
        <w:rPr>
          <w:rFonts w:ascii="Arial" w:hAnsi="Arial" w:cs="Arial"/>
          <w:lang w:val="en-US"/>
        </w:rPr>
        <w:t xml:space="preserve"> </w:t>
      </w:r>
      <w:r w:rsidR="00880099">
        <w:rPr>
          <w:rFonts w:ascii="Arial" w:hAnsi="Arial" w:cs="Arial"/>
          <w:lang w:val="en-US"/>
        </w:rPr>
        <w:t>As per “emergency situations”</w:t>
      </w:r>
      <w:r w:rsidR="005C508A">
        <w:rPr>
          <w:rFonts w:ascii="Arial" w:hAnsi="Arial" w:cs="Arial"/>
          <w:lang w:val="en-US"/>
        </w:rPr>
        <w:t xml:space="preserve">, there are different </w:t>
      </w:r>
      <w:r w:rsidR="00880099">
        <w:rPr>
          <w:rFonts w:ascii="Arial" w:hAnsi="Arial" w:cs="Arial"/>
          <w:lang w:val="en-US"/>
        </w:rPr>
        <w:t xml:space="preserve">national </w:t>
      </w:r>
      <w:r w:rsidR="005C508A">
        <w:rPr>
          <w:rFonts w:ascii="Arial" w:hAnsi="Arial" w:cs="Arial"/>
          <w:lang w:val="en-US"/>
        </w:rPr>
        <w:t>regulations in different countries.</w:t>
      </w:r>
      <w:r w:rsidR="0016127F">
        <w:rPr>
          <w:rFonts w:ascii="Arial" w:hAnsi="Arial" w:cs="Arial"/>
          <w:lang w:val="en-US"/>
        </w:rPr>
        <w:t xml:space="preserve"> </w:t>
      </w:r>
      <w:r w:rsidR="00EA57A2">
        <w:rPr>
          <w:rFonts w:ascii="Arial" w:hAnsi="Arial" w:cs="Arial"/>
          <w:lang w:val="en-US"/>
        </w:rPr>
        <w:t xml:space="preserve">Could </w:t>
      </w:r>
      <w:r w:rsidR="00880099">
        <w:rPr>
          <w:rFonts w:ascii="Arial" w:hAnsi="Arial" w:cs="Arial"/>
          <w:lang w:val="en-US"/>
        </w:rPr>
        <w:t xml:space="preserve">ACER </w:t>
      </w:r>
      <w:r w:rsidR="00EA57A2">
        <w:rPr>
          <w:rFonts w:ascii="Arial" w:hAnsi="Arial" w:cs="Arial"/>
          <w:lang w:val="en-US"/>
        </w:rPr>
        <w:t>have a role in harmonization?</w:t>
      </w:r>
      <w:r w:rsidR="005C508A">
        <w:rPr>
          <w:rFonts w:ascii="Arial" w:hAnsi="Arial" w:cs="Arial"/>
          <w:lang w:val="en-US"/>
        </w:rPr>
        <w:t xml:space="preserve"> </w:t>
      </w:r>
      <w:r w:rsidR="00880099">
        <w:rPr>
          <w:rFonts w:ascii="Arial" w:hAnsi="Arial" w:cs="Arial"/>
          <w:lang w:val="en-US"/>
        </w:rPr>
        <w:t xml:space="preserve">This is a complex issue for which discussions </w:t>
      </w:r>
      <w:r w:rsidR="006A71E0">
        <w:rPr>
          <w:rFonts w:ascii="Arial" w:hAnsi="Arial" w:cs="Arial"/>
          <w:lang w:val="en-US"/>
        </w:rPr>
        <w:t xml:space="preserve">in the DT </w:t>
      </w:r>
      <w:r w:rsidR="005C508A">
        <w:rPr>
          <w:rFonts w:ascii="Arial" w:hAnsi="Arial" w:cs="Arial"/>
          <w:lang w:val="en-US"/>
        </w:rPr>
        <w:t xml:space="preserve">are still underway. </w:t>
      </w:r>
    </w:p>
    <w:p w:rsidR="006A71E0" w:rsidRDefault="00FA7E8A" w:rsidP="00023B3A">
      <w:pPr>
        <w:rPr>
          <w:rFonts w:ascii="Arial" w:hAnsi="Arial" w:cs="Arial"/>
          <w:lang w:val="en-US"/>
        </w:rPr>
      </w:pPr>
      <w:r>
        <w:rPr>
          <w:rFonts w:ascii="Arial" w:hAnsi="Arial" w:cs="Arial"/>
          <w:lang w:val="en-US"/>
        </w:rPr>
        <w:t>“</w:t>
      </w:r>
      <w:r w:rsidR="006A71E0">
        <w:rPr>
          <w:rFonts w:ascii="Arial" w:hAnsi="Arial" w:cs="Arial"/>
          <w:lang w:val="en-US"/>
        </w:rPr>
        <w:t>Use it or sell it</w:t>
      </w:r>
      <w:r>
        <w:rPr>
          <w:rFonts w:ascii="Arial" w:hAnsi="Arial" w:cs="Arial"/>
          <w:lang w:val="en-US"/>
        </w:rPr>
        <w:t>”</w:t>
      </w:r>
      <w:r w:rsidR="006A71E0">
        <w:rPr>
          <w:rFonts w:ascii="Arial" w:hAnsi="Arial" w:cs="Arial"/>
          <w:lang w:val="en-US"/>
        </w:rPr>
        <w:t xml:space="preserve"> forward rights are </w:t>
      </w:r>
      <w:r>
        <w:rPr>
          <w:rFonts w:ascii="Arial" w:hAnsi="Arial" w:cs="Arial"/>
          <w:lang w:val="en-US"/>
        </w:rPr>
        <w:t xml:space="preserve">not mentioned in the draft code: </w:t>
      </w:r>
      <w:r w:rsidR="0016127F">
        <w:rPr>
          <w:rFonts w:ascii="Arial" w:hAnsi="Arial" w:cs="Arial"/>
          <w:lang w:val="en-US"/>
        </w:rPr>
        <w:t xml:space="preserve">ENTSOE </w:t>
      </w:r>
      <w:r>
        <w:rPr>
          <w:rFonts w:ascii="Arial" w:hAnsi="Arial" w:cs="Arial"/>
          <w:lang w:val="en-US"/>
        </w:rPr>
        <w:t>explain</w:t>
      </w:r>
      <w:r w:rsidR="00D72AD2">
        <w:rPr>
          <w:rFonts w:ascii="Arial" w:hAnsi="Arial" w:cs="Arial"/>
          <w:lang w:val="en-US"/>
        </w:rPr>
        <w:t>s</w:t>
      </w:r>
      <w:r>
        <w:rPr>
          <w:rFonts w:ascii="Arial" w:hAnsi="Arial" w:cs="Arial"/>
          <w:lang w:val="en-US"/>
        </w:rPr>
        <w:t xml:space="preserve"> that this </w:t>
      </w:r>
      <w:r w:rsidR="00F877D3">
        <w:rPr>
          <w:rFonts w:ascii="Arial" w:hAnsi="Arial" w:cs="Arial"/>
          <w:lang w:val="en-US"/>
        </w:rPr>
        <w:t>relates to the interface between the Day Ahead and Long Term timeframe</w:t>
      </w:r>
      <w:r>
        <w:rPr>
          <w:rFonts w:ascii="Arial" w:hAnsi="Arial" w:cs="Arial"/>
          <w:lang w:val="en-US"/>
        </w:rPr>
        <w:t>.</w:t>
      </w:r>
      <w:r w:rsidR="002336FD">
        <w:rPr>
          <w:rFonts w:ascii="Arial" w:hAnsi="Arial" w:cs="Arial"/>
          <w:lang w:val="en-US"/>
        </w:rPr>
        <w:t xml:space="preserve"> The topic will have to be covered in the Long Term code.</w:t>
      </w:r>
    </w:p>
    <w:p w:rsidR="00CD662D" w:rsidRDefault="00D93D58" w:rsidP="00023B3A">
      <w:pPr>
        <w:rPr>
          <w:rFonts w:ascii="Arial" w:hAnsi="Arial" w:cs="Arial"/>
          <w:lang w:val="en-US"/>
        </w:rPr>
      </w:pPr>
      <w:r>
        <w:rPr>
          <w:rFonts w:ascii="Arial" w:hAnsi="Arial" w:cs="Arial"/>
          <w:lang w:val="en-US"/>
        </w:rPr>
        <w:t>Transparency of information: “no late</w:t>
      </w:r>
      <w:r w:rsidR="00AD6088">
        <w:rPr>
          <w:rFonts w:ascii="Arial" w:hAnsi="Arial" w:cs="Arial"/>
          <w:lang w:val="en-US"/>
        </w:rPr>
        <w:t>r</w:t>
      </w:r>
      <w:r>
        <w:rPr>
          <w:rFonts w:ascii="Arial" w:hAnsi="Arial" w:cs="Arial"/>
          <w:lang w:val="en-US"/>
        </w:rPr>
        <w:t xml:space="preserve"> th</w:t>
      </w:r>
      <w:r w:rsidR="00AD6088">
        <w:rPr>
          <w:rFonts w:ascii="Arial" w:hAnsi="Arial" w:cs="Arial"/>
          <w:lang w:val="en-US"/>
        </w:rPr>
        <w:t>a</w:t>
      </w:r>
      <w:r>
        <w:rPr>
          <w:rFonts w:ascii="Arial" w:hAnsi="Arial" w:cs="Arial"/>
          <w:lang w:val="en-US"/>
        </w:rPr>
        <w:t xml:space="preserve">n 2 years after entry into force TSOs report…” TSOs should rather report already before. </w:t>
      </w:r>
      <w:r w:rsidR="0016127F">
        <w:rPr>
          <w:rFonts w:ascii="Arial" w:hAnsi="Arial" w:cs="Arial"/>
          <w:lang w:val="en-US"/>
        </w:rPr>
        <w:t xml:space="preserve">ENTSOE </w:t>
      </w:r>
      <w:r>
        <w:rPr>
          <w:rFonts w:ascii="Arial" w:hAnsi="Arial" w:cs="Arial"/>
          <w:lang w:val="en-US"/>
        </w:rPr>
        <w:t>explains that the corresponding article is about</w:t>
      </w:r>
      <w:r w:rsidR="0016127F">
        <w:rPr>
          <w:rFonts w:ascii="Arial" w:hAnsi="Arial" w:cs="Arial"/>
          <w:lang w:val="en-US"/>
        </w:rPr>
        <w:t xml:space="preserve"> monitoring the functioning of capacity calculation process.</w:t>
      </w:r>
    </w:p>
    <w:p w:rsidR="00CD662D" w:rsidRDefault="00CD662D" w:rsidP="00023B3A">
      <w:pPr>
        <w:rPr>
          <w:rFonts w:ascii="Arial" w:hAnsi="Arial" w:cs="Arial"/>
          <w:lang w:val="en-US"/>
        </w:rPr>
      </w:pPr>
    </w:p>
    <w:p w:rsidR="00D93D58" w:rsidRPr="00023B3A" w:rsidRDefault="00D93D58" w:rsidP="00023B3A">
      <w:pPr>
        <w:rPr>
          <w:rFonts w:ascii="Arial" w:hAnsi="Arial" w:cs="Arial"/>
          <w:lang w:val="en-US"/>
        </w:rPr>
      </w:pPr>
    </w:p>
    <w:p w:rsidR="005B511B" w:rsidRPr="005B511B" w:rsidRDefault="005B511B" w:rsidP="00FD11DA">
      <w:pPr>
        <w:pStyle w:val="ListParagraph"/>
        <w:numPr>
          <w:ilvl w:val="0"/>
          <w:numId w:val="2"/>
        </w:numPr>
        <w:rPr>
          <w:rFonts w:ascii="Arial" w:hAnsi="Arial" w:cs="Arial"/>
          <w:b/>
          <w:lang w:val="en-US"/>
        </w:rPr>
      </w:pPr>
      <w:r w:rsidRPr="005B511B">
        <w:rPr>
          <w:rFonts w:ascii="Arial" w:hAnsi="Arial" w:cs="Arial"/>
          <w:b/>
          <w:lang w:val="en-US"/>
        </w:rPr>
        <w:t>Next steps and next meeting</w:t>
      </w:r>
    </w:p>
    <w:p w:rsidR="00344C47" w:rsidRPr="00344C47" w:rsidRDefault="00BD43FF" w:rsidP="00344C47">
      <w:pPr>
        <w:rPr>
          <w:rFonts w:ascii="Arial" w:hAnsi="Arial" w:cs="Arial"/>
        </w:rPr>
      </w:pPr>
      <w:r>
        <w:rPr>
          <w:rFonts w:ascii="Arial" w:hAnsi="Arial" w:cs="Arial"/>
        </w:rPr>
        <w:t>ENTSOE</w:t>
      </w:r>
      <w:r w:rsidR="00344C47">
        <w:rPr>
          <w:rFonts w:ascii="Arial" w:hAnsi="Arial" w:cs="Arial"/>
        </w:rPr>
        <w:t xml:space="preserve"> shows slides with the timeline. </w:t>
      </w:r>
      <w:r w:rsidR="00344C47" w:rsidRPr="00344C47">
        <w:rPr>
          <w:rFonts w:ascii="Arial" w:hAnsi="Arial" w:cs="Arial"/>
        </w:rPr>
        <w:t xml:space="preserve">The code will go to Market Committee </w:t>
      </w:r>
      <w:r w:rsidR="00344C47">
        <w:rPr>
          <w:rFonts w:ascii="Arial" w:hAnsi="Arial" w:cs="Arial"/>
        </w:rPr>
        <w:t xml:space="preserve">(MC) </w:t>
      </w:r>
      <w:r w:rsidR="00344C47" w:rsidRPr="00344C47">
        <w:rPr>
          <w:rFonts w:ascii="Arial" w:hAnsi="Arial" w:cs="Arial"/>
        </w:rPr>
        <w:t>for approval on the 24</w:t>
      </w:r>
      <w:r w:rsidR="00344C47" w:rsidRPr="00344C47">
        <w:rPr>
          <w:rFonts w:ascii="Arial" w:hAnsi="Arial" w:cs="Arial"/>
          <w:vertAlign w:val="superscript"/>
        </w:rPr>
        <w:t>th</w:t>
      </w:r>
      <w:r w:rsidR="00344C47" w:rsidRPr="00344C47">
        <w:rPr>
          <w:rFonts w:ascii="Arial" w:hAnsi="Arial" w:cs="Arial"/>
        </w:rPr>
        <w:t xml:space="preserve"> February. That is why all comments </w:t>
      </w:r>
      <w:r w:rsidR="00344C47">
        <w:rPr>
          <w:rFonts w:ascii="Arial" w:hAnsi="Arial" w:cs="Arial"/>
        </w:rPr>
        <w:t xml:space="preserve">(key issues) </w:t>
      </w:r>
      <w:r w:rsidR="00344C47" w:rsidRPr="00344C47">
        <w:rPr>
          <w:rFonts w:ascii="Arial" w:hAnsi="Arial" w:cs="Arial"/>
        </w:rPr>
        <w:t>must be submitted before that.</w:t>
      </w:r>
      <w:r w:rsidR="00344C47">
        <w:rPr>
          <w:rFonts w:ascii="Arial" w:hAnsi="Arial" w:cs="Arial"/>
        </w:rPr>
        <w:t xml:space="preserve"> Approval by MC is on the 2</w:t>
      </w:r>
      <w:r w:rsidR="00344C47" w:rsidRPr="00344C47">
        <w:rPr>
          <w:rFonts w:ascii="Arial" w:hAnsi="Arial" w:cs="Arial"/>
          <w:vertAlign w:val="superscript"/>
        </w:rPr>
        <w:t>nd</w:t>
      </w:r>
      <w:r w:rsidR="00344C47">
        <w:rPr>
          <w:rFonts w:ascii="Arial" w:hAnsi="Arial" w:cs="Arial"/>
        </w:rPr>
        <w:t xml:space="preserve"> March. Approval by ENTSO-E Assembly is on the 20</w:t>
      </w:r>
      <w:r w:rsidR="00344C47" w:rsidRPr="00344C47">
        <w:rPr>
          <w:rFonts w:ascii="Arial" w:hAnsi="Arial" w:cs="Arial"/>
          <w:vertAlign w:val="superscript"/>
        </w:rPr>
        <w:t>th</w:t>
      </w:r>
      <w:r w:rsidR="00344C47">
        <w:rPr>
          <w:rFonts w:ascii="Arial" w:hAnsi="Arial" w:cs="Arial"/>
        </w:rPr>
        <w:t xml:space="preserve"> March. </w:t>
      </w:r>
    </w:p>
    <w:p w:rsidR="00344C47" w:rsidRDefault="00344C47" w:rsidP="00034C7C">
      <w:pPr>
        <w:jc w:val="both"/>
        <w:rPr>
          <w:rFonts w:ascii="Arial" w:hAnsi="Arial" w:cs="Arial"/>
          <w:lang w:val="en-US"/>
        </w:rPr>
      </w:pPr>
      <w:r>
        <w:rPr>
          <w:rFonts w:ascii="Arial" w:hAnsi="Arial" w:cs="Arial"/>
          <w:lang w:val="en-US"/>
        </w:rPr>
        <w:t>ENTSO-E is planning two workshops: one during the consultation</w:t>
      </w:r>
      <w:r w:rsidR="005E6692">
        <w:rPr>
          <w:rFonts w:ascii="Arial" w:hAnsi="Arial" w:cs="Arial"/>
          <w:lang w:val="en-US"/>
        </w:rPr>
        <w:t xml:space="preserve"> (tentative date: early May)</w:t>
      </w:r>
      <w:r>
        <w:rPr>
          <w:rFonts w:ascii="Arial" w:hAnsi="Arial" w:cs="Arial"/>
          <w:lang w:val="en-US"/>
        </w:rPr>
        <w:t xml:space="preserve"> and one after responses received.</w:t>
      </w:r>
    </w:p>
    <w:p w:rsidR="00344C47" w:rsidRDefault="00344C47" w:rsidP="00034C7C">
      <w:pPr>
        <w:jc w:val="both"/>
        <w:rPr>
          <w:rFonts w:ascii="Arial" w:hAnsi="Arial" w:cs="Arial"/>
          <w:lang w:val="en-US"/>
        </w:rPr>
      </w:pPr>
      <w:r>
        <w:rPr>
          <w:rFonts w:ascii="Arial" w:hAnsi="Arial" w:cs="Arial"/>
          <w:lang w:val="en-US"/>
        </w:rPr>
        <w:t xml:space="preserve">EFET and </w:t>
      </w:r>
      <w:proofErr w:type="spellStart"/>
      <w:r>
        <w:rPr>
          <w:rFonts w:ascii="Arial" w:hAnsi="Arial" w:cs="Arial"/>
          <w:lang w:val="en-US"/>
        </w:rPr>
        <w:t>Europex</w:t>
      </w:r>
      <w:proofErr w:type="spellEnd"/>
      <w:r>
        <w:rPr>
          <w:rFonts w:ascii="Arial" w:hAnsi="Arial" w:cs="Arial"/>
          <w:lang w:val="en-US"/>
        </w:rPr>
        <w:t xml:space="preserve"> express the opinion of most stakeholders need a possibility to comment and discuss regardless of the public consultation (which is a general occasion to comment for everybody)</w:t>
      </w:r>
      <w:r w:rsidR="00AD6088">
        <w:rPr>
          <w:rFonts w:ascii="Arial" w:hAnsi="Arial" w:cs="Arial"/>
          <w:lang w:val="en-US"/>
        </w:rPr>
        <w:t xml:space="preserve"> with sufficient time</w:t>
      </w:r>
      <w:r>
        <w:rPr>
          <w:rFonts w:ascii="Arial" w:hAnsi="Arial" w:cs="Arial"/>
          <w:lang w:val="en-US"/>
        </w:rPr>
        <w:t>.</w:t>
      </w:r>
    </w:p>
    <w:p w:rsidR="00BE5B5B" w:rsidRDefault="00AD6088" w:rsidP="00925B1B">
      <w:pPr>
        <w:rPr>
          <w:rFonts w:ascii="Arial" w:hAnsi="Arial" w:cs="Arial"/>
        </w:rPr>
      </w:pPr>
      <w:r>
        <w:rPr>
          <w:rFonts w:ascii="Arial" w:hAnsi="Arial" w:cs="Arial"/>
          <w:lang w:val="en-US"/>
        </w:rPr>
        <w:t xml:space="preserve">Based on the discussion, it is </w:t>
      </w:r>
      <w:r w:rsidR="00A536D3">
        <w:rPr>
          <w:rFonts w:ascii="Arial" w:hAnsi="Arial" w:cs="Arial"/>
          <w:lang w:val="en-US"/>
        </w:rPr>
        <w:t>agree</w:t>
      </w:r>
      <w:r>
        <w:rPr>
          <w:rFonts w:ascii="Arial" w:hAnsi="Arial" w:cs="Arial"/>
          <w:lang w:val="en-US"/>
        </w:rPr>
        <w:t>d</w:t>
      </w:r>
      <w:r w:rsidR="00A536D3">
        <w:rPr>
          <w:rFonts w:ascii="Arial" w:hAnsi="Arial" w:cs="Arial"/>
          <w:lang w:val="en-US"/>
        </w:rPr>
        <w:t xml:space="preserve"> </w:t>
      </w:r>
      <w:r w:rsidR="002003D0">
        <w:rPr>
          <w:rFonts w:ascii="Arial" w:hAnsi="Arial" w:cs="Arial"/>
          <w:lang w:val="en-US"/>
        </w:rPr>
        <w:t>that</w:t>
      </w:r>
      <w:r w:rsidR="00925B1B" w:rsidRPr="00925B1B">
        <w:rPr>
          <w:rFonts w:ascii="Arial" w:hAnsi="Arial" w:cs="Arial"/>
        </w:rPr>
        <w:t xml:space="preserve"> </w:t>
      </w:r>
      <w:r w:rsidR="002003D0">
        <w:rPr>
          <w:rFonts w:ascii="Arial" w:hAnsi="Arial" w:cs="Arial"/>
        </w:rPr>
        <w:t xml:space="preserve">comments </w:t>
      </w:r>
      <w:r w:rsidR="009C5B72">
        <w:rPr>
          <w:rFonts w:ascii="Arial" w:hAnsi="Arial" w:cs="Arial"/>
        </w:rPr>
        <w:t>(</w:t>
      </w:r>
      <w:r>
        <w:rPr>
          <w:rFonts w:ascii="Arial" w:hAnsi="Arial" w:cs="Arial"/>
        </w:rPr>
        <w:t xml:space="preserve">focusing </w:t>
      </w:r>
      <w:r w:rsidR="009C5B72">
        <w:rPr>
          <w:rFonts w:ascii="Arial" w:hAnsi="Arial" w:cs="Arial"/>
        </w:rPr>
        <w:t>only the</w:t>
      </w:r>
      <w:r>
        <w:rPr>
          <w:rFonts w:ascii="Arial" w:hAnsi="Arial" w:cs="Arial"/>
        </w:rPr>
        <w:t xml:space="preserve"> most relevant</w:t>
      </w:r>
      <w:r w:rsidR="009C5B72">
        <w:rPr>
          <w:rFonts w:ascii="Arial" w:hAnsi="Arial" w:cs="Arial"/>
        </w:rPr>
        <w:t xml:space="preserve"> issues) </w:t>
      </w:r>
      <w:r w:rsidR="002003D0">
        <w:rPr>
          <w:rFonts w:ascii="Arial" w:hAnsi="Arial" w:cs="Arial"/>
        </w:rPr>
        <w:t>on should be submitted</w:t>
      </w:r>
      <w:r w:rsidR="00BE5B5B">
        <w:rPr>
          <w:rFonts w:ascii="Arial" w:hAnsi="Arial" w:cs="Arial"/>
        </w:rPr>
        <w:t>:</w:t>
      </w:r>
      <w:r w:rsidR="002003D0">
        <w:rPr>
          <w:rFonts w:ascii="Arial" w:hAnsi="Arial" w:cs="Arial"/>
        </w:rPr>
        <w:t xml:space="preserve"> </w:t>
      </w:r>
    </w:p>
    <w:p w:rsidR="00CB6901" w:rsidRDefault="00BE5B5B">
      <w:pPr>
        <w:pStyle w:val="ListParagraph"/>
        <w:numPr>
          <w:ilvl w:val="0"/>
          <w:numId w:val="6"/>
        </w:numPr>
        <w:rPr>
          <w:rFonts w:ascii="Arial" w:hAnsi="Arial" w:cs="Arial"/>
        </w:rPr>
      </w:pPr>
      <w:r>
        <w:rPr>
          <w:rFonts w:ascii="Arial" w:hAnsi="Arial" w:cs="Arial"/>
        </w:rPr>
        <w:t>by</w:t>
      </w:r>
      <w:r w:rsidR="00417C0D" w:rsidRPr="00417C0D">
        <w:rPr>
          <w:rFonts w:ascii="Arial" w:hAnsi="Arial" w:cs="Arial"/>
        </w:rPr>
        <w:t xml:space="preserve"> the 7</w:t>
      </w:r>
      <w:r w:rsidR="00417C0D" w:rsidRPr="00417C0D">
        <w:rPr>
          <w:rFonts w:ascii="Arial" w:hAnsi="Arial" w:cs="Arial"/>
          <w:vertAlign w:val="superscript"/>
        </w:rPr>
        <w:t>th</w:t>
      </w:r>
      <w:r w:rsidR="00417C0D" w:rsidRPr="00417C0D">
        <w:rPr>
          <w:rFonts w:ascii="Arial" w:hAnsi="Arial" w:cs="Arial"/>
        </w:rPr>
        <w:t xml:space="preserve"> February noon </w:t>
      </w:r>
      <w:r>
        <w:rPr>
          <w:rFonts w:ascii="Arial" w:hAnsi="Arial" w:cs="Arial"/>
        </w:rPr>
        <w:t xml:space="preserve">on </w:t>
      </w:r>
      <w:r w:rsidR="00BD2A1C">
        <w:rPr>
          <w:rFonts w:ascii="Arial" w:hAnsi="Arial" w:cs="Arial"/>
        </w:rPr>
        <w:t>bidding zones</w:t>
      </w:r>
    </w:p>
    <w:p w:rsidR="00CB6901" w:rsidRDefault="00BE5B5B">
      <w:pPr>
        <w:pStyle w:val="ListParagraph"/>
        <w:numPr>
          <w:ilvl w:val="0"/>
          <w:numId w:val="6"/>
        </w:numPr>
        <w:rPr>
          <w:rFonts w:ascii="Arial" w:hAnsi="Arial" w:cs="Arial"/>
        </w:rPr>
      </w:pPr>
      <w:r>
        <w:rPr>
          <w:rFonts w:ascii="Arial" w:hAnsi="Arial" w:cs="Arial"/>
        </w:rPr>
        <w:t>by</w:t>
      </w:r>
      <w:r w:rsidR="00417C0D" w:rsidRPr="00417C0D">
        <w:rPr>
          <w:rFonts w:ascii="Arial" w:hAnsi="Arial" w:cs="Arial"/>
        </w:rPr>
        <w:t xml:space="preserve"> </w:t>
      </w:r>
      <w:r w:rsidRPr="00A7440A">
        <w:rPr>
          <w:rFonts w:ascii="Arial" w:hAnsi="Arial" w:cs="Arial"/>
        </w:rPr>
        <w:t>10</w:t>
      </w:r>
      <w:r w:rsidRPr="00A7440A">
        <w:rPr>
          <w:rFonts w:ascii="Arial" w:hAnsi="Arial" w:cs="Arial"/>
          <w:vertAlign w:val="superscript"/>
        </w:rPr>
        <w:t>th</w:t>
      </w:r>
      <w:r w:rsidRPr="00A7440A">
        <w:rPr>
          <w:rFonts w:ascii="Arial" w:hAnsi="Arial" w:cs="Arial"/>
        </w:rPr>
        <w:t xml:space="preserve"> February </w:t>
      </w:r>
      <w:r>
        <w:rPr>
          <w:rFonts w:ascii="Arial" w:hAnsi="Arial" w:cs="Arial"/>
        </w:rPr>
        <w:t xml:space="preserve">on the </w:t>
      </w:r>
      <w:r w:rsidR="00417C0D" w:rsidRPr="00417C0D">
        <w:rPr>
          <w:rFonts w:ascii="Arial" w:hAnsi="Arial" w:cs="Arial"/>
        </w:rPr>
        <w:t xml:space="preserve">intraday </w:t>
      </w:r>
      <w:r>
        <w:rPr>
          <w:rFonts w:ascii="Arial" w:hAnsi="Arial" w:cs="Arial"/>
        </w:rPr>
        <w:t>section</w:t>
      </w:r>
    </w:p>
    <w:p w:rsidR="00014B83" w:rsidRDefault="00AD6088" w:rsidP="00925B1B">
      <w:pPr>
        <w:rPr>
          <w:rFonts w:ascii="Arial" w:hAnsi="Arial" w:cs="Arial"/>
        </w:rPr>
      </w:pPr>
      <w:r>
        <w:rPr>
          <w:rFonts w:ascii="Arial" w:hAnsi="Arial" w:cs="Arial"/>
        </w:rPr>
        <w:t>ENTSO-E explains that</w:t>
      </w:r>
      <w:r w:rsidR="00BD2A1C">
        <w:rPr>
          <w:rFonts w:ascii="Arial" w:hAnsi="Arial" w:cs="Arial"/>
        </w:rPr>
        <w:t xml:space="preserve"> </w:t>
      </w:r>
      <w:r w:rsidR="00014B83">
        <w:rPr>
          <w:rFonts w:ascii="Arial" w:hAnsi="Arial" w:cs="Arial"/>
        </w:rPr>
        <w:t>he draft code which will go into consultation will be accompanied by a supportive document (giving additional explanations) and frequently asked questions.</w:t>
      </w:r>
    </w:p>
    <w:p w:rsidR="005B511B" w:rsidRPr="005B511B" w:rsidRDefault="005B511B" w:rsidP="00FD11DA">
      <w:pPr>
        <w:pStyle w:val="ListParagraph"/>
        <w:numPr>
          <w:ilvl w:val="0"/>
          <w:numId w:val="2"/>
        </w:numPr>
        <w:rPr>
          <w:rFonts w:ascii="Arial" w:hAnsi="Arial" w:cs="Arial"/>
          <w:b/>
          <w:lang w:val="en-US"/>
        </w:rPr>
      </w:pPr>
      <w:r w:rsidRPr="005B511B">
        <w:rPr>
          <w:rFonts w:ascii="Arial" w:hAnsi="Arial" w:cs="Arial"/>
          <w:b/>
          <w:lang w:val="en-US"/>
        </w:rPr>
        <w:t>Any other business</w:t>
      </w:r>
    </w:p>
    <w:p w:rsidR="001D5266" w:rsidRPr="00F61650" w:rsidRDefault="00FC06E7" w:rsidP="00A067AD">
      <w:pPr>
        <w:rPr>
          <w:rFonts w:ascii="Arial" w:hAnsi="Arial" w:cs="Arial"/>
        </w:rPr>
      </w:pPr>
      <w:r>
        <w:rPr>
          <w:rFonts w:ascii="Arial" w:hAnsi="Arial" w:cs="Arial"/>
        </w:rPr>
        <w:t>There are no items under this topic.</w:t>
      </w:r>
    </w:p>
    <w:sectPr w:rsidR="001D5266" w:rsidRPr="00F61650" w:rsidSect="00D1010B">
      <w:headerReference w:type="default" r:id="rId9"/>
      <w:footerReference w:type="default" r:id="rId10"/>
      <w:pgSz w:w="11906" w:h="16838"/>
      <w:pgMar w:top="1026" w:right="1378" w:bottom="1276" w:left="1440" w:header="72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D39" w:rsidRDefault="004A4D39" w:rsidP="005C15E9">
      <w:pPr>
        <w:spacing w:after="0" w:line="240" w:lineRule="auto"/>
      </w:pPr>
      <w:r>
        <w:separator/>
      </w:r>
    </w:p>
  </w:endnote>
  <w:endnote w:type="continuationSeparator" w:id="0">
    <w:p w:rsidR="004A4D39" w:rsidRDefault="004A4D39" w:rsidP="005C1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70" w:rsidRPr="005D0CC4" w:rsidRDefault="00192870" w:rsidP="00BC44C1">
    <w:pPr>
      <w:pStyle w:val="Footer"/>
      <w:rPr>
        <w:rFonts w:ascii="Arial Narrow" w:hAnsi="Arial Narrow" w:cs="Arial"/>
        <w:b/>
        <w:i/>
        <w:sz w:val="20"/>
        <w:szCs w:val="20"/>
      </w:rPr>
    </w:pPr>
    <w:r>
      <w:rPr>
        <w:rFonts w:ascii="Arial Narrow" w:hAnsi="Arial Narrow" w:cs="Arial"/>
        <w:i/>
        <w:sz w:val="20"/>
        <w:szCs w:val="20"/>
      </w:rPr>
      <w:tab/>
      <w:t>4</w:t>
    </w:r>
    <w:r w:rsidRPr="0037392B">
      <w:rPr>
        <w:rFonts w:ascii="Arial Narrow" w:hAnsi="Arial Narrow" w:cs="Arial"/>
        <w:i/>
        <w:sz w:val="20"/>
        <w:szCs w:val="20"/>
        <w:vertAlign w:val="superscript"/>
      </w:rPr>
      <w:t>th</w:t>
    </w:r>
    <w:r w:rsidR="00545265">
      <w:rPr>
        <w:rFonts w:ascii="Arial Narrow" w:hAnsi="Arial Narrow" w:cs="Arial"/>
        <w:i/>
        <w:sz w:val="20"/>
        <w:szCs w:val="20"/>
      </w:rPr>
      <w:t xml:space="preserve"> CACM</w:t>
    </w:r>
    <w:r>
      <w:rPr>
        <w:rFonts w:ascii="Arial Narrow" w:hAnsi="Arial Narrow" w:cs="Arial"/>
        <w:i/>
        <w:sz w:val="20"/>
        <w:szCs w:val="20"/>
      </w:rPr>
      <w:t xml:space="preserve"> Stakeholder Meeting – 2</w:t>
    </w:r>
    <w:r w:rsidRPr="0037392B">
      <w:rPr>
        <w:rFonts w:ascii="Arial Narrow" w:hAnsi="Arial Narrow" w:cs="Arial"/>
        <w:i/>
        <w:sz w:val="20"/>
        <w:szCs w:val="20"/>
        <w:vertAlign w:val="superscript"/>
      </w:rPr>
      <w:t>nd</w:t>
    </w:r>
    <w:r>
      <w:rPr>
        <w:rFonts w:ascii="Arial Narrow" w:hAnsi="Arial Narrow" w:cs="Arial"/>
        <w:i/>
        <w:sz w:val="20"/>
        <w:szCs w:val="20"/>
      </w:rPr>
      <w:t xml:space="preserve"> February 2012 – Minutes</w:t>
    </w:r>
    <w:r w:rsidRPr="00684233">
      <w:rPr>
        <w:rFonts w:ascii="Arial Narrow" w:hAnsi="Arial Narrow" w:cs="Arial"/>
        <w:i/>
        <w:sz w:val="20"/>
        <w:szCs w:val="20"/>
      </w:rPr>
      <w:tab/>
      <w:t xml:space="preserve">Page </w:t>
    </w:r>
    <w:r w:rsidR="0015109F" w:rsidRPr="00684233">
      <w:rPr>
        <w:rFonts w:ascii="Arial Narrow" w:hAnsi="Arial Narrow" w:cs="Arial"/>
        <w:b/>
        <w:i/>
        <w:sz w:val="20"/>
        <w:szCs w:val="20"/>
      </w:rPr>
      <w:fldChar w:fldCharType="begin"/>
    </w:r>
    <w:r w:rsidRPr="00684233">
      <w:rPr>
        <w:rFonts w:ascii="Arial Narrow" w:hAnsi="Arial Narrow" w:cs="Arial"/>
        <w:b/>
        <w:i/>
        <w:sz w:val="20"/>
        <w:szCs w:val="20"/>
      </w:rPr>
      <w:instrText xml:space="preserve"> PAGE </w:instrText>
    </w:r>
    <w:r w:rsidR="0015109F" w:rsidRPr="00684233">
      <w:rPr>
        <w:rFonts w:ascii="Arial Narrow" w:hAnsi="Arial Narrow" w:cs="Arial"/>
        <w:b/>
        <w:i/>
        <w:sz w:val="20"/>
        <w:szCs w:val="20"/>
      </w:rPr>
      <w:fldChar w:fldCharType="separate"/>
    </w:r>
    <w:r w:rsidR="00022AFC">
      <w:rPr>
        <w:rFonts w:ascii="Arial Narrow" w:hAnsi="Arial Narrow" w:cs="Arial"/>
        <w:b/>
        <w:i/>
        <w:noProof/>
        <w:sz w:val="20"/>
        <w:szCs w:val="20"/>
      </w:rPr>
      <w:t>3</w:t>
    </w:r>
    <w:r w:rsidR="0015109F" w:rsidRPr="00684233">
      <w:rPr>
        <w:rFonts w:ascii="Arial Narrow" w:hAnsi="Arial Narrow" w:cs="Arial"/>
        <w:b/>
        <w:i/>
        <w:sz w:val="20"/>
        <w:szCs w:val="20"/>
      </w:rPr>
      <w:fldChar w:fldCharType="end"/>
    </w:r>
    <w:r w:rsidRPr="00684233">
      <w:rPr>
        <w:rFonts w:ascii="Arial Narrow" w:hAnsi="Arial Narrow" w:cs="Arial"/>
        <w:i/>
        <w:sz w:val="20"/>
        <w:szCs w:val="20"/>
      </w:rPr>
      <w:t xml:space="preserve"> of </w:t>
    </w:r>
    <w:r w:rsidR="0015109F" w:rsidRPr="00684233">
      <w:rPr>
        <w:rFonts w:ascii="Arial Narrow" w:hAnsi="Arial Narrow" w:cs="Arial"/>
        <w:b/>
        <w:i/>
        <w:sz w:val="20"/>
        <w:szCs w:val="20"/>
      </w:rPr>
      <w:fldChar w:fldCharType="begin"/>
    </w:r>
    <w:r w:rsidRPr="00684233">
      <w:rPr>
        <w:rFonts w:ascii="Arial Narrow" w:hAnsi="Arial Narrow" w:cs="Arial"/>
        <w:b/>
        <w:i/>
        <w:sz w:val="20"/>
        <w:szCs w:val="20"/>
      </w:rPr>
      <w:instrText xml:space="preserve"> NUMPAGES  </w:instrText>
    </w:r>
    <w:r w:rsidR="0015109F" w:rsidRPr="00684233">
      <w:rPr>
        <w:rFonts w:ascii="Arial Narrow" w:hAnsi="Arial Narrow" w:cs="Arial"/>
        <w:b/>
        <w:i/>
        <w:sz w:val="20"/>
        <w:szCs w:val="20"/>
      </w:rPr>
      <w:fldChar w:fldCharType="separate"/>
    </w:r>
    <w:r w:rsidR="00022AFC">
      <w:rPr>
        <w:rFonts w:ascii="Arial Narrow" w:hAnsi="Arial Narrow" w:cs="Arial"/>
        <w:b/>
        <w:i/>
        <w:noProof/>
        <w:sz w:val="20"/>
        <w:szCs w:val="20"/>
      </w:rPr>
      <w:t>6</w:t>
    </w:r>
    <w:r w:rsidR="0015109F" w:rsidRPr="00684233">
      <w:rPr>
        <w:rFonts w:ascii="Arial Narrow" w:hAnsi="Arial Narrow" w:cs="Arial"/>
        <w:b/>
        <w:i/>
        <w:sz w:val="20"/>
        <w:szCs w:val="20"/>
      </w:rPr>
      <w:fldChar w:fldCharType="end"/>
    </w:r>
  </w:p>
  <w:p w:rsidR="00192870" w:rsidRDefault="00192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D39" w:rsidRDefault="004A4D39" w:rsidP="005C15E9">
      <w:pPr>
        <w:spacing w:after="0" w:line="240" w:lineRule="auto"/>
      </w:pPr>
      <w:r>
        <w:separator/>
      </w:r>
    </w:p>
  </w:footnote>
  <w:footnote w:type="continuationSeparator" w:id="0">
    <w:p w:rsidR="004A4D39" w:rsidRDefault="004A4D39" w:rsidP="005C1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70" w:rsidRDefault="00192870" w:rsidP="00C97CFD">
    <w:pPr>
      <w:pStyle w:val="Header"/>
      <w:spacing w:after="0"/>
      <w:rPr>
        <w:rFonts w:ascii="Arial" w:hAnsi="Arial" w:cs="Arial"/>
        <w:b/>
        <w:i/>
        <w:sz w:val="36"/>
        <w:szCs w:val="36"/>
      </w:rPr>
    </w:pPr>
    <w:r>
      <w:rPr>
        <w:rFonts w:ascii="Arial" w:hAnsi="Arial" w:cs="Arial"/>
        <w:b/>
        <w:i/>
        <w:noProof/>
        <w:sz w:val="36"/>
        <w:szCs w:val="36"/>
        <w:lang w:eastAsia="en-GB"/>
      </w:rPr>
      <w:drawing>
        <wp:inline distT="0" distB="0" distL="0" distR="0">
          <wp:extent cx="1638300" cy="552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38300" cy="552450"/>
                  </a:xfrm>
                  <a:prstGeom prst="rect">
                    <a:avLst/>
                  </a:prstGeom>
                  <a:noFill/>
                  <a:ln w="9525">
                    <a:noFill/>
                    <a:miter lim="800000"/>
                    <a:headEnd/>
                    <a:tailEnd/>
                  </a:ln>
                </pic:spPr>
              </pic:pic>
            </a:graphicData>
          </a:graphic>
        </wp:inline>
      </w:drawing>
    </w:r>
  </w:p>
  <w:p w:rsidR="00192870" w:rsidRDefault="00192870" w:rsidP="00C97CFD">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F01"/>
    <w:multiLevelType w:val="hybridMultilevel"/>
    <w:tmpl w:val="2C4E337E"/>
    <w:lvl w:ilvl="0" w:tplc="1809000F">
      <w:start w:val="1"/>
      <w:numFmt w:val="decimal"/>
      <w:lvlText w:val="%1."/>
      <w:lvlJc w:val="left"/>
      <w:pPr>
        <w:ind w:left="360" w:hanging="360"/>
      </w:pPr>
      <w:rPr>
        <w:rFonts w:cs="Times New Roman"/>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
    <w:nsid w:val="1ACE0DA8"/>
    <w:multiLevelType w:val="hybridMultilevel"/>
    <w:tmpl w:val="51A0DE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0867A7E"/>
    <w:multiLevelType w:val="hybridMultilevel"/>
    <w:tmpl w:val="1172B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1E71A44"/>
    <w:multiLevelType w:val="hybridMultilevel"/>
    <w:tmpl w:val="D13EDF98"/>
    <w:lvl w:ilvl="0" w:tplc="67FEFB18">
      <w:start w:val="1"/>
      <w:numFmt w:val="bullet"/>
      <w:lvlText w:val=""/>
      <w:lvlJc w:val="left"/>
      <w:pPr>
        <w:tabs>
          <w:tab w:val="num" w:pos="720"/>
        </w:tabs>
        <w:ind w:left="720" w:hanging="360"/>
      </w:pPr>
      <w:rPr>
        <w:rFonts w:ascii="Wingdings" w:hAnsi="Wingdings" w:hint="default"/>
      </w:rPr>
    </w:lvl>
    <w:lvl w:ilvl="1" w:tplc="53E87C3E" w:tentative="1">
      <w:start w:val="1"/>
      <w:numFmt w:val="bullet"/>
      <w:lvlText w:val=""/>
      <w:lvlJc w:val="left"/>
      <w:pPr>
        <w:tabs>
          <w:tab w:val="num" w:pos="1440"/>
        </w:tabs>
        <w:ind w:left="1440" w:hanging="360"/>
      </w:pPr>
      <w:rPr>
        <w:rFonts w:ascii="Wingdings" w:hAnsi="Wingdings" w:hint="default"/>
      </w:rPr>
    </w:lvl>
    <w:lvl w:ilvl="2" w:tplc="FC04BDDC">
      <w:start w:val="1"/>
      <w:numFmt w:val="bullet"/>
      <w:lvlText w:val=""/>
      <w:lvlJc w:val="left"/>
      <w:pPr>
        <w:tabs>
          <w:tab w:val="num" w:pos="2160"/>
        </w:tabs>
        <w:ind w:left="2160" w:hanging="360"/>
      </w:pPr>
      <w:rPr>
        <w:rFonts w:ascii="Wingdings" w:hAnsi="Wingdings" w:hint="default"/>
      </w:rPr>
    </w:lvl>
    <w:lvl w:ilvl="3" w:tplc="399EBAB8" w:tentative="1">
      <w:start w:val="1"/>
      <w:numFmt w:val="bullet"/>
      <w:lvlText w:val=""/>
      <w:lvlJc w:val="left"/>
      <w:pPr>
        <w:tabs>
          <w:tab w:val="num" w:pos="2880"/>
        </w:tabs>
        <w:ind w:left="2880" w:hanging="360"/>
      </w:pPr>
      <w:rPr>
        <w:rFonts w:ascii="Wingdings" w:hAnsi="Wingdings" w:hint="default"/>
      </w:rPr>
    </w:lvl>
    <w:lvl w:ilvl="4" w:tplc="D07A804C" w:tentative="1">
      <w:start w:val="1"/>
      <w:numFmt w:val="bullet"/>
      <w:lvlText w:val=""/>
      <w:lvlJc w:val="left"/>
      <w:pPr>
        <w:tabs>
          <w:tab w:val="num" w:pos="3600"/>
        </w:tabs>
        <w:ind w:left="3600" w:hanging="360"/>
      </w:pPr>
      <w:rPr>
        <w:rFonts w:ascii="Wingdings" w:hAnsi="Wingdings" w:hint="default"/>
      </w:rPr>
    </w:lvl>
    <w:lvl w:ilvl="5" w:tplc="4DB2FF1A" w:tentative="1">
      <w:start w:val="1"/>
      <w:numFmt w:val="bullet"/>
      <w:lvlText w:val=""/>
      <w:lvlJc w:val="left"/>
      <w:pPr>
        <w:tabs>
          <w:tab w:val="num" w:pos="4320"/>
        </w:tabs>
        <w:ind w:left="4320" w:hanging="360"/>
      </w:pPr>
      <w:rPr>
        <w:rFonts w:ascii="Wingdings" w:hAnsi="Wingdings" w:hint="default"/>
      </w:rPr>
    </w:lvl>
    <w:lvl w:ilvl="6" w:tplc="21E6D6D8" w:tentative="1">
      <w:start w:val="1"/>
      <w:numFmt w:val="bullet"/>
      <w:lvlText w:val=""/>
      <w:lvlJc w:val="left"/>
      <w:pPr>
        <w:tabs>
          <w:tab w:val="num" w:pos="5040"/>
        </w:tabs>
        <w:ind w:left="5040" w:hanging="360"/>
      </w:pPr>
      <w:rPr>
        <w:rFonts w:ascii="Wingdings" w:hAnsi="Wingdings" w:hint="default"/>
      </w:rPr>
    </w:lvl>
    <w:lvl w:ilvl="7" w:tplc="A9C44106" w:tentative="1">
      <w:start w:val="1"/>
      <w:numFmt w:val="bullet"/>
      <w:lvlText w:val=""/>
      <w:lvlJc w:val="left"/>
      <w:pPr>
        <w:tabs>
          <w:tab w:val="num" w:pos="5760"/>
        </w:tabs>
        <w:ind w:left="5760" w:hanging="360"/>
      </w:pPr>
      <w:rPr>
        <w:rFonts w:ascii="Wingdings" w:hAnsi="Wingdings" w:hint="default"/>
      </w:rPr>
    </w:lvl>
    <w:lvl w:ilvl="8" w:tplc="D15A0844" w:tentative="1">
      <w:start w:val="1"/>
      <w:numFmt w:val="bullet"/>
      <w:lvlText w:val=""/>
      <w:lvlJc w:val="left"/>
      <w:pPr>
        <w:tabs>
          <w:tab w:val="num" w:pos="6480"/>
        </w:tabs>
        <w:ind w:left="6480" w:hanging="360"/>
      </w:pPr>
      <w:rPr>
        <w:rFonts w:ascii="Wingdings" w:hAnsi="Wingdings" w:hint="default"/>
      </w:rPr>
    </w:lvl>
  </w:abstractNum>
  <w:abstractNum w:abstractNumId="4">
    <w:nsid w:val="642232C2"/>
    <w:multiLevelType w:val="hybridMultilevel"/>
    <w:tmpl w:val="069CDB5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742621EB"/>
    <w:multiLevelType w:val="hybridMultilevel"/>
    <w:tmpl w:val="BD46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44"/>
    <w:rsid w:val="00000A4E"/>
    <w:rsid w:val="00001827"/>
    <w:rsid w:val="00001DE8"/>
    <w:rsid w:val="00005201"/>
    <w:rsid w:val="00007EAF"/>
    <w:rsid w:val="0001041C"/>
    <w:rsid w:val="000114AE"/>
    <w:rsid w:val="00013BBC"/>
    <w:rsid w:val="00014B83"/>
    <w:rsid w:val="0001594D"/>
    <w:rsid w:val="00021B3D"/>
    <w:rsid w:val="00022AFC"/>
    <w:rsid w:val="00023B3A"/>
    <w:rsid w:val="00024F4A"/>
    <w:rsid w:val="00025CC4"/>
    <w:rsid w:val="00027ABC"/>
    <w:rsid w:val="000300E7"/>
    <w:rsid w:val="00033EA4"/>
    <w:rsid w:val="00033FB3"/>
    <w:rsid w:val="00034C7C"/>
    <w:rsid w:val="000352AE"/>
    <w:rsid w:val="000406DC"/>
    <w:rsid w:val="00040A7A"/>
    <w:rsid w:val="00041396"/>
    <w:rsid w:val="00043B19"/>
    <w:rsid w:val="00044217"/>
    <w:rsid w:val="00050725"/>
    <w:rsid w:val="00051160"/>
    <w:rsid w:val="000529B0"/>
    <w:rsid w:val="00056DD6"/>
    <w:rsid w:val="00062DE0"/>
    <w:rsid w:val="00063E47"/>
    <w:rsid w:val="0006466B"/>
    <w:rsid w:val="00064A51"/>
    <w:rsid w:val="00065EF4"/>
    <w:rsid w:val="0007044F"/>
    <w:rsid w:val="000771C5"/>
    <w:rsid w:val="000836F2"/>
    <w:rsid w:val="000846A4"/>
    <w:rsid w:val="0008609D"/>
    <w:rsid w:val="00090572"/>
    <w:rsid w:val="000963F5"/>
    <w:rsid w:val="00097DE4"/>
    <w:rsid w:val="000A094D"/>
    <w:rsid w:val="000A667D"/>
    <w:rsid w:val="000A7E22"/>
    <w:rsid w:val="000B256A"/>
    <w:rsid w:val="000B27F7"/>
    <w:rsid w:val="000C0178"/>
    <w:rsid w:val="000C11D5"/>
    <w:rsid w:val="000C1374"/>
    <w:rsid w:val="000C1878"/>
    <w:rsid w:val="000C7547"/>
    <w:rsid w:val="000D2D56"/>
    <w:rsid w:val="000D5FD2"/>
    <w:rsid w:val="000E010F"/>
    <w:rsid w:val="000E0CEC"/>
    <w:rsid w:val="000E6721"/>
    <w:rsid w:val="000F08D8"/>
    <w:rsid w:val="000F2487"/>
    <w:rsid w:val="000F3795"/>
    <w:rsid w:val="000F4C93"/>
    <w:rsid w:val="000F5FBF"/>
    <w:rsid w:val="000F6F7B"/>
    <w:rsid w:val="00101C0A"/>
    <w:rsid w:val="00103998"/>
    <w:rsid w:val="0010446E"/>
    <w:rsid w:val="00104558"/>
    <w:rsid w:val="00106B8A"/>
    <w:rsid w:val="00107BE1"/>
    <w:rsid w:val="0011034C"/>
    <w:rsid w:val="0011045F"/>
    <w:rsid w:val="00110CD3"/>
    <w:rsid w:val="00111DC2"/>
    <w:rsid w:val="00112666"/>
    <w:rsid w:val="00113CD1"/>
    <w:rsid w:val="0011453A"/>
    <w:rsid w:val="00114B32"/>
    <w:rsid w:val="001161EB"/>
    <w:rsid w:val="00120E2D"/>
    <w:rsid w:val="00121118"/>
    <w:rsid w:val="001217C9"/>
    <w:rsid w:val="00125696"/>
    <w:rsid w:val="001277F3"/>
    <w:rsid w:val="0013191B"/>
    <w:rsid w:val="00133174"/>
    <w:rsid w:val="0013341B"/>
    <w:rsid w:val="0013681B"/>
    <w:rsid w:val="00137051"/>
    <w:rsid w:val="00137A6A"/>
    <w:rsid w:val="00143904"/>
    <w:rsid w:val="00144239"/>
    <w:rsid w:val="001442C9"/>
    <w:rsid w:val="00147011"/>
    <w:rsid w:val="0014770A"/>
    <w:rsid w:val="001503B8"/>
    <w:rsid w:val="0015109F"/>
    <w:rsid w:val="00151A7A"/>
    <w:rsid w:val="0015275B"/>
    <w:rsid w:val="00153525"/>
    <w:rsid w:val="00155961"/>
    <w:rsid w:val="001573E0"/>
    <w:rsid w:val="0016127F"/>
    <w:rsid w:val="00162FC9"/>
    <w:rsid w:val="001636AA"/>
    <w:rsid w:val="00163D15"/>
    <w:rsid w:val="0016613F"/>
    <w:rsid w:val="00167CE2"/>
    <w:rsid w:val="0017384A"/>
    <w:rsid w:val="001803E9"/>
    <w:rsid w:val="00181DF8"/>
    <w:rsid w:val="001821A2"/>
    <w:rsid w:val="00191D05"/>
    <w:rsid w:val="00192828"/>
    <w:rsid w:val="00192870"/>
    <w:rsid w:val="00193FCC"/>
    <w:rsid w:val="0019448E"/>
    <w:rsid w:val="00194DD0"/>
    <w:rsid w:val="0019547B"/>
    <w:rsid w:val="00196F65"/>
    <w:rsid w:val="001A14A9"/>
    <w:rsid w:val="001A1901"/>
    <w:rsid w:val="001A3356"/>
    <w:rsid w:val="001A3669"/>
    <w:rsid w:val="001A48C6"/>
    <w:rsid w:val="001A4B30"/>
    <w:rsid w:val="001A5428"/>
    <w:rsid w:val="001A6B76"/>
    <w:rsid w:val="001A6CB2"/>
    <w:rsid w:val="001B0C92"/>
    <w:rsid w:val="001B18A3"/>
    <w:rsid w:val="001B2B00"/>
    <w:rsid w:val="001B3752"/>
    <w:rsid w:val="001B67F2"/>
    <w:rsid w:val="001B7C38"/>
    <w:rsid w:val="001C0991"/>
    <w:rsid w:val="001C1A31"/>
    <w:rsid w:val="001C3AC9"/>
    <w:rsid w:val="001C5456"/>
    <w:rsid w:val="001C59AD"/>
    <w:rsid w:val="001C6A76"/>
    <w:rsid w:val="001D1563"/>
    <w:rsid w:val="001D462D"/>
    <w:rsid w:val="001D5266"/>
    <w:rsid w:val="001D5D1E"/>
    <w:rsid w:val="001D6B5E"/>
    <w:rsid w:val="001D7F47"/>
    <w:rsid w:val="001E0926"/>
    <w:rsid w:val="001E0BA1"/>
    <w:rsid w:val="001E53B8"/>
    <w:rsid w:val="001F1EBA"/>
    <w:rsid w:val="001F4E3E"/>
    <w:rsid w:val="001F4E99"/>
    <w:rsid w:val="001F6F55"/>
    <w:rsid w:val="002003D0"/>
    <w:rsid w:val="0020093E"/>
    <w:rsid w:val="00202C89"/>
    <w:rsid w:val="0020703F"/>
    <w:rsid w:val="002107FB"/>
    <w:rsid w:val="00212BAD"/>
    <w:rsid w:val="00213857"/>
    <w:rsid w:val="00214791"/>
    <w:rsid w:val="00217939"/>
    <w:rsid w:val="0022050E"/>
    <w:rsid w:val="00221E67"/>
    <w:rsid w:val="002229FB"/>
    <w:rsid w:val="00224917"/>
    <w:rsid w:val="0022527A"/>
    <w:rsid w:val="002336FD"/>
    <w:rsid w:val="00234C72"/>
    <w:rsid w:val="00234DE1"/>
    <w:rsid w:val="00235B37"/>
    <w:rsid w:val="0024248F"/>
    <w:rsid w:val="00243EB9"/>
    <w:rsid w:val="00244E5C"/>
    <w:rsid w:val="00247B64"/>
    <w:rsid w:val="00251DA7"/>
    <w:rsid w:val="00253849"/>
    <w:rsid w:val="002542E1"/>
    <w:rsid w:val="002564C3"/>
    <w:rsid w:val="00260D93"/>
    <w:rsid w:val="00261624"/>
    <w:rsid w:val="002640A6"/>
    <w:rsid w:val="0026597C"/>
    <w:rsid w:val="002701F0"/>
    <w:rsid w:val="002830F0"/>
    <w:rsid w:val="00283B13"/>
    <w:rsid w:val="00285392"/>
    <w:rsid w:val="00290039"/>
    <w:rsid w:val="002937BA"/>
    <w:rsid w:val="00293819"/>
    <w:rsid w:val="00293BF9"/>
    <w:rsid w:val="002A008E"/>
    <w:rsid w:val="002A1ABD"/>
    <w:rsid w:val="002A37B6"/>
    <w:rsid w:val="002A400D"/>
    <w:rsid w:val="002A4081"/>
    <w:rsid w:val="002A426B"/>
    <w:rsid w:val="002A7B41"/>
    <w:rsid w:val="002B03A1"/>
    <w:rsid w:val="002B58BB"/>
    <w:rsid w:val="002B7CA3"/>
    <w:rsid w:val="002C377D"/>
    <w:rsid w:val="002C3821"/>
    <w:rsid w:val="002C4A70"/>
    <w:rsid w:val="002C6C0B"/>
    <w:rsid w:val="002C70AB"/>
    <w:rsid w:val="002D1E8F"/>
    <w:rsid w:val="002E0F5B"/>
    <w:rsid w:val="002E1213"/>
    <w:rsid w:val="002E1EA2"/>
    <w:rsid w:val="002E37F7"/>
    <w:rsid w:val="002E543F"/>
    <w:rsid w:val="002E776A"/>
    <w:rsid w:val="002F050F"/>
    <w:rsid w:val="002F08AF"/>
    <w:rsid w:val="002F0C39"/>
    <w:rsid w:val="002F50E9"/>
    <w:rsid w:val="002F7667"/>
    <w:rsid w:val="00301033"/>
    <w:rsid w:val="003043E7"/>
    <w:rsid w:val="00304D9C"/>
    <w:rsid w:val="00305DE9"/>
    <w:rsid w:val="00305FBB"/>
    <w:rsid w:val="003125FB"/>
    <w:rsid w:val="003147D9"/>
    <w:rsid w:val="00315250"/>
    <w:rsid w:val="00323F88"/>
    <w:rsid w:val="00324D63"/>
    <w:rsid w:val="00324DE3"/>
    <w:rsid w:val="00324E61"/>
    <w:rsid w:val="00325F37"/>
    <w:rsid w:val="00333B0B"/>
    <w:rsid w:val="00334DBD"/>
    <w:rsid w:val="003360B5"/>
    <w:rsid w:val="00336BB2"/>
    <w:rsid w:val="00336EE9"/>
    <w:rsid w:val="0034072C"/>
    <w:rsid w:val="00341AF8"/>
    <w:rsid w:val="003422E3"/>
    <w:rsid w:val="003438AC"/>
    <w:rsid w:val="00344C47"/>
    <w:rsid w:val="00345E05"/>
    <w:rsid w:val="00351EF2"/>
    <w:rsid w:val="00352677"/>
    <w:rsid w:val="003526E4"/>
    <w:rsid w:val="00352DFE"/>
    <w:rsid w:val="00354E85"/>
    <w:rsid w:val="0035712E"/>
    <w:rsid w:val="003574F0"/>
    <w:rsid w:val="00361318"/>
    <w:rsid w:val="00361F4A"/>
    <w:rsid w:val="00362247"/>
    <w:rsid w:val="003633D5"/>
    <w:rsid w:val="0036455D"/>
    <w:rsid w:val="0037060F"/>
    <w:rsid w:val="00371459"/>
    <w:rsid w:val="00373258"/>
    <w:rsid w:val="0037392B"/>
    <w:rsid w:val="00374E2B"/>
    <w:rsid w:val="00376779"/>
    <w:rsid w:val="0038036C"/>
    <w:rsid w:val="0038354A"/>
    <w:rsid w:val="00384EF3"/>
    <w:rsid w:val="00390598"/>
    <w:rsid w:val="003912E9"/>
    <w:rsid w:val="003957BC"/>
    <w:rsid w:val="00395C85"/>
    <w:rsid w:val="003A0E09"/>
    <w:rsid w:val="003A1566"/>
    <w:rsid w:val="003A283B"/>
    <w:rsid w:val="003A711A"/>
    <w:rsid w:val="003A72CF"/>
    <w:rsid w:val="003B1FFF"/>
    <w:rsid w:val="003B4D7F"/>
    <w:rsid w:val="003B54AE"/>
    <w:rsid w:val="003B76B3"/>
    <w:rsid w:val="003B7BA2"/>
    <w:rsid w:val="003C1EDE"/>
    <w:rsid w:val="003C29B2"/>
    <w:rsid w:val="003C2FD1"/>
    <w:rsid w:val="003C59ED"/>
    <w:rsid w:val="003C6577"/>
    <w:rsid w:val="003C6E11"/>
    <w:rsid w:val="003D20E1"/>
    <w:rsid w:val="003D2FF7"/>
    <w:rsid w:val="003D3456"/>
    <w:rsid w:val="003D50FF"/>
    <w:rsid w:val="003D5FC2"/>
    <w:rsid w:val="003D60D5"/>
    <w:rsid w:val="003D67D3"/>
    <w:rsid w:val="003E2C64"/>
    <w:rsid w:val="003E4C8D"/>
    <w:rsid w:val="003E5596"/>
    <w:rsid w:val="003E7353"/>
    <w:rsid w:val="003E7AB6"/>
    <w:rsid w:val="003E7EAD"/>
    <w:rsid w:val="003F11C8"/>
    <w:rsid w:val="003F1649"/>
    <w:rsid w:val="003F1987"/>
    <w:rsid w:val="003F6023"/>
    <w:rsid w:val="003F69B1"/>
    <w:rsid w:val="003F7C28"/>
    <w:rsid w:val="0040495B"/>
    <w:rsid w:val="00410CF8"/>
    <w:rsid w:val="00413E6A"/>
    <w:rsid w:val="00416D0A"/>
    <w:rsid w:val="00417C0D"/>
    <w:rsid w:val="00423F67"/>
    <w:rsid w:val="00427141"/>
    <w:rsid w:val="004272EB"/>
    <w:rsid w:val="004307A1"/>
    <w:rsid w:val="004324DC"/>
    <w:rsid w:val="00434530"/>
    <w:rsid w:val="00434BF9"/>
    <w:rsid w:val="004375CC"/>
    <w:rsid w:val="00441D4E"/>
    <w:rsid w:val="0044311D"/>
    <w:rsid w:val="0044602E"/>
    <w:rsid w:val="0044605F"/>
    <w:rsid w:val="00446887"/>
    <w:rsid w:val="00451707"/>
    <w:rsid w:val="00454765"/>
    <w:rsid w:val="0045659F"/>
    <w:rsid w:val="004605AC"/>
    <w:rsid w:val="00460980"/>
    <w:rsid w:val="00460F7F"/>
    <w:rsid w:val="00463134"/>
    <w:rsid w:val="00464257"/>
    <w:rsid w:val="00467E74"/>
    <w:rsid w:val="0047003B"/>
    <w:rsid w:val="00471C0C"/>
    <w:rsid w:val="004732CF"/>
    <w:rsid w:val="00473C9E"/>
    <w:rsid w:val="0047472C"/>
    <w:rsid w:val="00474912"/>
    <w:rsid w:val="00481CE8"/>
    <w:rsid w:val="00481D64"/>
    <w:rsid w:val="00485D87"/>
    <w:rsid w:val="00487675"/>
    <w:rsid w:val="00492549"/>
    <w:rsid w:val="00493769"/>
    <w:rsid w:val="00493F39"/>
    <w:rsid w:val="00495F45"/>
    <w:rsid w:val="004964AF"/>
    <w:rsid w:val="004A248B"/>
    <w:rsid w:val="004A3E0A"/>
    <w:rsid w:val="004A4C2D"/>
    <w:rsid w:val="004A4CCA"/>
    <w:rsid w:val="004A4D39"/>
    <w:rsid w:val="004A5016"/>
    <w:rsid w:val="004A5395"/>
    <w:rsid w:val="004A6CD3"/>
    <w:rsid w:val="004B14A9"/>
    <w:rsid w:val="004B1EA5"/>
    <w:rsid w:val="004B3F49"/>
    <w:rsid w:val="004B4804"/>
    <w:rsid w:val="004B4FF7"/>
    <w:rsid w:val="004B5AB9"/>
    <w:rsid w:val="004B6783"/>
    <w:rsid w:val="004B6974"/>
    <w:rsid w:val="004B7043"/>
    <w:rsid w:val="004C0F1C"/>
    <w:rsid w:val="004C2827"/>
    <w:rsid w:val="004C5BC2"/>
    <w:rsid w:val="004C7F2C"/>
    <w:rsid w:val="004D2E38"/>
    <w:rsid w:val="004E15DA"/>
    <w:rsid w:val="004E3F63"/>
    <w:rsid w:val="004E3F78"/>
    <w:rsid w:val="004E5888"/>
    <w:rsid w:val="004E5CCB"/>
    <w:rsid w:val="004E5F92"/>
    <w:rsid w:val="004F1868"/>
    <w:rsid w:val="004F2458"/>
    <w:rsid w:val="004F3507"/>
    <w:rsid w:val="004F56E2"/>
    <w:rsid w:val="004F5E64"/>
    <w:rsid w:val="004F7F09"/>
    <w:rsid w:val="00500CC6"/>
    <w:rsid w:val="00501104"/>
    <w:rsid w:val="00501E92"/>
    <w:rsid w:val="00504107"/>
    <w:rsid w:val="00510661"/>
    <w:rsid w:val="00510973"/>
    <w:rsid w:val="005127CA"/>
    <w:rsid w:val="00512BD1"/>
    <w:rsid w:val="00515971"/>
    <w:rsid w:val="00517251"/>
    <w:rsid w:val="005241B1"/>
    <w:rsid w:val="00524ACA"/>
    <w:rsid w:val="00525A4F"/>
    <w:rsid w:val="0052688B"/>
    <w:rsid w:val="00535C89"/>
    <w:rsid w:val="00537B10"/>
    <w:rsid w:val="00541C1C"/>
    <w:rsid w:val="00543D1D"/>
    <w:rsid w:val="00545265"/>
    <w:rsid w:val="00551BCD"/>
    <w:rsid w:val="00553568"/>
    <w:rsid w:val="00553917"/>
    <w:rsid w:val="0055540B"/>
    <w:rsid w:val="0056426E"/>
    <w:rsid w:val="005650CD"/>
    <w:rsid w:val="00565BF0"/>
    <w:rsid w:val="00566844"/>
    <w:rsid w:val="0057416F"/>
    <w:rsid w:val="00575CC6"/>
    <w:rsid w:val="00576048"/>
    <w:rsid w:val="00576E58"/>
    <w:rsid w:val="00582345"/>
    <w:rsid w:val="00587332"/>
    <w:rsid w:val="00592575"/>
    <w:rsid w:val="005931BD"/>
    <w:rsid w:val="00594D96"/>
    <w:rsid w:val="005958E1"/>
    <w:rsid w:val="00596ACA"/>
    <w:rsid w:val="00597123"/>
    <w:rsid w:val="00597F54"/>
    <w:rsid w:val="005A36F1"/>
    <w:rsid w:val="005A4527"/>
    <w:rsid w:val="005A52FF"/>
    <w:rsid w:val="005A609B"/>
    <w:rsid w:val="005A632B"/>
    <w:rsid w:val="005A7680"/>
    <w:rsid w:val="005A7B0D"/>
    <w:rsid w:val="005B0117"/>
    <w:rsid w:val="005B0B3E"/>
    <w:rsid w:val="005B1279"/>
    <w:rsid w:val="005B22DC"/>
    <w:rsid w:val="005B3EBB"/>
    <w:rsid w:val="005B511B"/>
    <w:rsid w:val="005B7C1D"/>
    <w:rsid w:val="005C15E9"/>
    <w:rsid w:val="005C2A25"/>
    <w:rsid w:val="005C436B"/>
    <w:rsid w:val="005C4968"/>
    <w:rsid w:val="005C508A"/>
    <w:rsid w:val="005D0CC4"/>
    <w:rsid w:val="005D15C5"/>
    <w:rsid w:val="005D68B0"/>
    <w:rsid w:val="005E14D7"/>
    <w:rsid w:val="005E3FF6"/>
    <w:rsid w:val="005E6692"/>
    <w:rsid w:val="005F1B22"/>
    <w:rsid w:val="005F1DEC"/>
    <w:rsid w:val="005F2931"/>
    <w:rsid w:val="005F3E3D"/>
    <w:rsid w:val="005F50CB"/>
    <w:rsid w:val="005F798D"/>
    <w:rsid w:val="00600461"/>
    <w:rsid w:val="00600A07"/>
    <w:rsid w:val="006102CC"/>
    <w:rsid w:val="00610C02"/>
    <w:rsid w:val="00615E3F"/>
    <w:rsid w:val="0062268B"/>
    <w:rsid w:val="00633845"/>
    <w:rsid w:val="00635904"/>
    <w:rsid w:val="006379C8"/>
    <w:rsid w:val="006408C5"/>
    <w:rsid w:val="00641DDE"/>
    <w:rsid w:val="00642878"/>
    <w:rsid w:val="00642C5B"/>
    <w:rsid w:val="006513AF"/>
    <w:rsid w:val="00652D6E"/>
    <w:rsid w:val="00654E8F"/>
    <w:rsid w:val="0065605B"/>
    <w:rsid w:val="0065657F"/>
    <w:rsid w:val="0066306D"/>
    <w:rsid w:val="0066536D"/>
    <w:rsid w:val="00665DC4"/>
    <w:rsid w:val="00674568"/>
    <w:rsid w:val="006754A6"/>
    <w:rsid w:val="00677B80"/>
    <w:rsid w:val="00684233"/>
    <w:rsid w:val="006866CB"/>
    <w:rsid w:val="0068720C"/>
    <w:rsid w:val="00687573"/>
    <w:rsid w:val="00687EFA"/>
    <w:rsid w:val="006906AC"/>
    <w:rsid w:val="006913EC"/>
    <w:rsid w:val="00691760"/>
    <w:rsid w:val="00691F36"/>
    <w:rsid w:val="0069440A"/>
    <w:rsid w:val="00694503"/>
    <w:rsid w:val="006946C5"/>
    <w:rsid w:val="006979F7"/>
    <w:rsid w:val="00697B13"/>
    <w:rsid w:val="006A05AE"/>
    <w:rsid w:val="006A2697"/>
    <w:rsid w:val="006A410B"/>
    <w:rsid w:val="006A5E08"/>
    <w:rsid w:val="006A66D6"/>
    <w:rsid w:val="006A71E0"/>
    <w:rsid w:val="006B0277"/>
    <w:rsid w:val="006B072B"/>
    <w:rsid w:val="006B22E4"/>
    <w:rsid w:val="006B2D62"/>
    <w:rsid w:val="006B2EAC"/>
    <w:rsid w:val="006B4352"/>
    <w:rsid w:val="006B5976"/>
    <w:rsid w:val="006B65CC"/>
    <w:rsid w:val="006C2331"/>
    <w:rsid w:val="006D1125"/>
    <w:rsid w:val="006D5010"/>
    <w:rsid w:val="006D6111"/>
    <w:rsid w:val="006E0D5E"/>
    <w:rsid w:val="006E19CE"/>
    <w:rsid w:val="006E2507"/>
    <w:rsid w:val="006E2FC8"/>
    <w:rsid w:val="006E3D35"/>
    <w:rsid w:val="006E6F2B"/>
    <w:rsid w:val="006F2859"/>
    <w:rsid w:val="006F3E5E"/>
    <w:rsid w:val="006F400D"/>
    <w:rsid w:val="006F64E8"/>
    <w:rsid w:val="00700CD5"/>
    <w:rsid w:val="00701CD2"/>
    <w:rsid w:val="00702E14"/>
    <w:rsid w:val="00705C27"/>
    <w:rsid w:val="00706EA4"/>
    <w:rsid w:val="00707EA2"/>
    <w:rsid w:val="00712322"/>
    <w:rsid w:val="0071626B"/>
    <w:rsid w:val="00716E0A"/>
    <w:rsid w:val="007171FA"/>
    <w:rsid w:val="007230DA"/>
    <w:rsid w:val="00723187"/>
    <w:rsid w:val="00723906"/>
    <w:rsid w:val="00726761"/>
    <w:rsid w:val="007276B3"/>
    <w:rsid w:val="0073061D"/>
    <w:rsid w:val="007336CD"/>
    <w:rsid w:val="00735AB8"/>
    <w:rsid w:val="00737CB6"/>
    <w:rsid w:val="0074140F"/>
    <w:rsid w:val="00741D83"/>
    <w:rsid w:val="00746A33"/>
    <w:rsid w:val="00747466"/>
    <w:rsid w:val="00751F01"/>
    <w:rsid w:val="0075281B"/>
    <w:rsid w:val="00753B4D"/>
    <w:rsid w:val="00755DBA"/>
    <w:rsid w:val="00756AAC"/>
    <w:rsid w:val="00757D45"/>
    <w:rsid w:val="00761719"/>
    <w:rsid w:val="00762FF8"/>
    <w:rsid w:val="007651E4"/>
    <w:rsid w:val="00770909"/>
    <w:rsid w:val="00777683"/>
    <w:rsid w:val="00777F8F"/>
    <w:rsid w:val="007826D5"/>
    <w:rsid w:val="007829A9"/>
    <w:rsid w:val="00783C55"/>
    <w:rsid w:val="00783CE8"/>
    <w:rsid w:val="007842CA"/>
    <w:rsid w:val="007845D4"/>
    <w:rsid w:val="0078568D"/>
    <w:rsid w:val="007869DE"/>
    <w:rsid w:val="007902F7"/>
    <w:rsid w:val="00792DB9"/>
    <w:rsid w:val="00793FC1"/>
    <w:rsid w:val="007978BB"/>
    <w:rsid w:val="007A0BAB"/>
    <w:rsid w:val="007A3544"/>
    <w:rsid w:val="007B0713"/>
    <w:rsid w:val="007B1608"/>
    <w:rsid w:val="007B59E2"/>
    <w:rsid w:val="007C0594"/>
    <w:rsid w:val="007C55E3"/>
    <w:rsid w:val="007C5E10"/>
    <w:rsid w:val="007C5E12"/>
    <w:rsid w:val="007D3004"/>
    <w:rsid w:val="007D377A"/>
    <w:rsid w:val="007D76EF"/>
    <w:rsid w:val="007E05A8"/>
    <w:rsid w:val="007E0723"/>
    <w:rsid w:val="007E4995"/>
    <w:rsid w:val="007E4B1A"/>
    <w:rsid w:val="007E6352"/>
    <w:rsid w:val="007E6FBF"/>
    <w:rsid w:val="007F00CA"/>
    <w:rsid w:val="00801AAC"/>
    <w:rsid w:val="008023B3"/>
    <w:rsid w:val="008032D6"/>
    <w:rsid w:val="008037EB"/>
    <w:rsid w:val="00803F32"/>
    <w:rsid w:val="00805484"/>
    <w:rsid w:val="00810211"/>
    <w:rsid w:val="00815928"/>
    <w:rsid w:val="00817D52"/>
    <w:rsid w:val="00822E42"/>
    <w:rsid w:val="00823557"/>
    <w:rsid w:val="008244D5"/>
    <w:rsid w:val="00826480"/>
    <w:rsid w:val="008266FC"/>
    <w:rsid w:val="008274BF"/>
    <w:rsid w:val="008278B9"/>
    <w:rsid w:val="0083111E"/>
    <w:rsid w:val="00833A8C"/>
    <w:rsid w:val="00835182"/>
    <w:rsid w:val="008371B7"/>
    <w:rsid w:val="00837BC6"/>
    <w:rsid w:val="00843231"/>
    <w:rsid w:val="00843359"/>
    <w:rsid w:val="008447CD"/>
    <w:rsid w:val="0084539C"/>
    <w:rsid w:val="008469A9"/>
    <w:rsid w:val="00846B43"/>
    <w:rsid w:val="008523A4"/>
    <w:rsid w:val="00855026"/>
    <w:rsid w:val="00855D90"/>
    <w:rsid w:val="00856F57"/>
    <w:rsid w:val="00860728"/>
    <w:rsid w:val="00861D67"/>
    <w:rsid w:val="00862469"/>
    <w:rsid w:val="00864D10"/>
    <w:rsid w:val="008670D6"/>
    <w:rsid w:val="0087251D"/>
    <w:rsid w:val="00872B02"/>
    <w:rsid w:val="0087438C"/>
    <w:rsid w:val="00875096"/>
    <w:rsid w:val="00877C08"/>
    <w:rsid w:val="00880099"/>
    <w:rsid w:val="008819C7"/>
    <w:rsid w:val="00884014"/>
    <w:rsid w:val="00887413"/>
    <w:rsid w:val="00887B88"/>
    <w:rsid w:val="008916C0"/>
    <w:rsid w:val="00893257"/>
    <w:rsid w:val="00893659"/>
    <w:rsid w:val="008936CC"/>
    <w:rsid w:val="00895C76"/>
    <w:rsid w:val="008A086F"/>
    <w:rsid w:val="008A11F6"/>
    <w:rsid w:val="008A2180"/>
    <w:rsid w:val="008B1826"/>
    <w:rsid w:val="008B2FBC"/>
    <w:rsid w:val="008B3FB3"/>
    <w:rsid w:val="008B4020"/>
    <w:rsid w:val="008B6F5F"/>
    <w:rsid w:val="008C267D"/>
    <w:rsid w:val="008C573F"/>
    <w:rsid w:val="008D23B0"/>
    <w:rsid w:val="008D2EC5"/>
    <w:rsid w:val="008D3AA2"/>
    <w:rsid w:val="008D3DA7"/>
    <w:rsid w:val="008D5E80"/>
    <w:rsid w:val="008E0C90"/>
    <w:rsid w:val="008E33F5"/>
    <w:rsid w:val="008F489F"/>
    <w:rsid w:val="008F7FC9"/>
    <w:rsid w:val="00907AA8"/>
    <w:rsid w:val="00910FDB"/>
    <w:rsid w:val="00917C4F"/>
    <w:rsid w:val="00917EBE"/>
    <w:rsid w:val="00920069"/>
    <w:rsid w:val="00922484"/>
    <w:rsid w:val="009232B8"/>
    <w:rsid w:val="00924E2F"/>
    <w:rsid w:val="00925031"/>
    <w:rsid w:val="00925B1B"/>
    <w:rsid w:val="00925D6C"/>
    <w:rsid w:val="009261B0"/>
    <w:rsid w:val="00931A2B"/>
    <w:rsid w:val="00932A85"/>
    <w:rsid w:val="00934291"/>
    <w:rsid w:val="0093567B"/>
    <w:rsid w:val="0093629D"/>
    <w:rsid w:val="00936B23"/>
    <w:rsid w:val="00937155"/>
    <w:rsid w:val="00941353"/>
    <w:rsid w:val="00946569"/>
    <w:rsid w:val="00950F15"/>
    <w:rsid w:val="00954C64"/>
    <w:rsid w:val="009551FE"/>
    <w:rsid w:val="0095683C"/>
    <w:rsid w:val="00960DD7"/>
    <w:rsid w:val="00963555"/>
    <w:rsid w:val="009636AC"/>
    <w:rsid w:val="0096376A"/>
    <w:rsid w:val="00964593"/>
    <w:rsid w:val="009652D1"/>
    <w:rsid w:val="009671C2"/>
    <w:rsid w:val="00967927"/>
    <w:rsid w:val="009724AE"/>
    <w:rsid w:val="009837CD"/>
    <w:rsid w:val="0098565E"/>
    <w:rsid w:val="00991436"/>
    <w:rsid w:val="00992308"/>
    <w:rsid w:val="00996741"/>
    <w:rsid w:val="009977CA"/>
    <w:rsid w:val="009A62BB"/>
    <w:rsid w:val="009A7CAD"/>
    <w:rsid w:val="009B151A"/>
    <w:rsid w:val="009B20CE"/>
    <w:rsid w:val="009B2D01"/>
    <w:rsid w:val="009B3568"/>
    <w:rsid w:val="009C332F"/>
    <w:rsid w:val="009C5B72"/>
    <w:rsid w:val="009C6790"/>
    <w:rsid w:val="009C6D59"/>
    <w:rsid w:val="009D3BD7"/>
    <w:rsid w:val="009D435F"/>
    <w:rsid w:val="009D6C12"/>
    <w:rsid w:val="009D79F8"/>
    <w:rsid w:val="009E0D3C"/>
    <w:rsid w:val="009E1738"/>
    <w:rsid w:val="009E35A0"/>
    <w:rsid w:val="009E3738"/>
    <w:rsid w:val="009E4750"/>
    <w:rsid w:val="009E4983"/>
    <w:rsid w:val="009F214E"/>
    <w:rsid w:val="009F27D5"/>
    <w:rsid w:val="009F2F8E"/>
    <w:rsid w:val="00A026D4"/>
    <w:rsid w:val="00A02CFE"/>
    <w:rsid w:val="00A03370"/>
    <w:rsid w:val="00A03874"/>
    <w:rsid w:val="00A04261"/>
    <w:rsid w:val="00A067AD"/>
    <w:rsid w:val="00A121AB"/>
    <w:rsid w:val="00A129D1"/>
    <w:rsid w:val="00A178D0"/>
    <w:rsid w:val="00A21EE3"/>
    <w:rsid w:val="00A22F4E"/>
    <w:rsid w:val="00A23C32"/>
    <w:rsid w:val="00A24390"/>
    <w:rsid w:val="00A25130"/>
    <w:rsid w:val="00A265E7"/>
    <w:rsid w:val="00A27F55"/>
    <w:rsid w:val="00A3332F"/>
    <w:rsid w:val="00A3527F"/>
    <w:rsid w:val="00A364A1"/>
    <w:rsid w:val="00A3777D"/>
    <w:rsid w:val="00A40710"/>
    <w:rsid w:val="00A4344D"/>
    <w:rsid w:val="00A438F3"/>
    <w:rsid w:val="00A50E18"/>
    <w:rsid w:val="00A52DC4"/>
    <w:rsid w:val="00A536D3"/>
    <w:rsid w:val="00A5498A"/>
    <w:rsid w:val="00A659AE"/>
    <w:rsid w:val="00A71F26"/>
    <w:rsid w:val="00A746AF"/>
    <w:rsid w:val="00A7664D"/>
    <w:rsid w:val="00A7743A"/>
    <w:rsid w:val="00A82A5B"/>
    <w:rsid w:val="00A83ECE"/>
    <w:rsid w:val="00A84257"/>
    <w:rsid w:val="00A87D8A"/>
    <w:rsid w:val="00A913EC"/>
    <w:rsid w:val="00A91D3A"/>
    <w:rsid w:val="00A9295C"/>
    <w:rsid w:val="00AA0563"/>
    <w:rsid w:val="00AA1220"/>
    <w:rsid w:val="00AA364B"/>
    <w:rsid w:val="00AA5612"/>
    <w:rsid w:val="00AA680B"/>
    <w:rsid w:val="00AA7CAC"/>
    <w:rsid w:val="00AB523B"/>
    <w:rsid w:val="00AB5944"/>
    <w:rsid w:val="00AB6CA1"/>
    <w:rsid w:val="00AB77A2"/>
    <w:rsid w:val="00AC34EB"/>
    <w:rsid w:val="00AC79D6"/>
    <w:rsid w:val="00AD0FA6"/>
    <w:rsid w:val="00AD2AB0"/>
    <w:rsid w:val="00AD4566"/>
    <w:rsid w:val="00AD47DE"/>
    <w:rsid w:val="00AD47ED"/>
    <w:rsid w:val="00AD4832"/>
    <w:rsid w:val="00AD6088"/>
    <w:rsid w:val="00AD62A4"/>
    <w:rsid w:val="00AD6771"/>
    <w:rsid w:val="00AE0AB2"/>
    <w:rsid w:val="00AE3332"/>
    <w:rsid w:val="00AE41EA"/>
    <w:rsid w:val="00AE5711"/>
    <w:rsid w:val="00AE59C1"/>
    <w:rsid w:val="00AE73E3"/>
    <w:rsid w:val="00AE791C"/>
    <w:rsid w:val="00AF0E4C"/>
    <w:rsid w:val="00AF12FD"/>
    <w:rsid w:val="00AF369B"/>
    <w:rsid w:val="00AF44C1"/>
    <w:rsid w:val="00AF5EE1"/>
    <w:rsid w:val="00AF741E"/>
    <w:rsid w:val="00B00DAD"/>
    <w:rsid w:val="00B058FB"/>
    <w:rsid w:val="00B06BBE"/>
    <w:rsid w:val="00B15711"/>
    <w:rsid w:val="00B16BEA"/>
    <w:rsid w:val="00B212DA"/>
    <w:rsid w:val="00B21A48"/>
    <w:rsid w:val="00B21E0A"/>
    <w:rsid w:val="00B22C0F"/>
    <w:rsid w:val="00B2665A"/>
    <w:rsid w:val="00B306FD"/>
    <w:rsid w:val="00B30E67"/>
    <w:rsid w:val="00B346DB"/>
    <w:rsid w:val="00B35022"/>
    <w:rsid w:val="00B53344"/>
    <w:rsid w:val="00B57C07"/>
    <w:rsid w:val="00B60749"/>
    <w:rsid w:val="00B63BCC"/>
    <w:rsid w:val="00B6609F"/>
    <w:rsid w:val="00B664C0"/>
    <w:rsid w:val="00B665AB"/>
    <w:rsid w:val="00B71443"/>
    <w:rsid w:val="00B720DA"/>
    <w:rsid w:val="00B74109"/>
    <w:rsid w:val="00B761E1"/>
    <w:rsid w:val="00B76671"/>
    <w:rsid w:val="00B77BF4"/>
    <w:rsid w:val="00B82205"/>
    <w:rsid w:val="00B83B51"/>
    <w:rsid w:val="00B8509F"/>
    <w:rsid w:val="00B852BA"/>
    <w:rsid w:val="00B85805"/>
    <w:rsid w:val="00B86D9B"/>
    <w:rsid w:val="00B9127B"/>
    <w:rsid w:val="00B92DD1"/>
    <w:rsid w:val="00B93A4C"/>
    <w:rsid w:val="00B94587"/>
    <w:rsid w:val="00B96798"/>
    <w:rsid w:val="00B973E9"/>
    <w:rsid w:val="00BA013B"/>
    <w:rsid w:val="00BA179E"/>
    <w:rsid w:val="00BA54C8"/>
    <w:rsid w:val="00BA69F3"/>
    <w:rsid w:val="00BB3817"/>
    <w:rsid w:val="00BB47C6"/>
    <w:rsid w:val="00BB4AF9"/>
    <w:rsid w:val="00BB5F86"/>
    <w:rsid w:val="00BC0920"/>
    <w:rsid w:val="00BC18DB"/>
    <w:rsid w:val="00BC1BD3"/>
    <w:rsid w:val="00BC24B0"/>
    <w:rsid w:val="00BC3172"/>
    <w:rsid w:val="00BC44C1"/>
    <w:rsid w:val="00BC7759"/>
    <w:rsid w:val="00BD2A1C"/>
    <w:rsid w:val="00BD43FF"/>
    <w:rsid w:val="00BD5C59"/>
    <w:rsid w:val="00BD6092"/>
    <w:rsid w:val="00BD7148"/>
    <w:rsid w:val="00BE3184"/>
    <w:rsid w:val="00BE35B3"/>
    <w:rsid w:val="00BE400C"/>
    <w:rsid w:val="00BE5B5B"/>
    <w:rsid w:val="00BE6754"/>
    <w:rsid w:val="00BF0ADD"/>
    <w:rsid w:val="00BF12C4"/>
    <w:rsid w:val="00BF24B9"/>
    <w:rsid w:val="00BF6676"/>
    <w:rsid w:val="00C01602"/>
    <w:rsid w:val="00C02282"/>
    <w:rsid w:val="00C027FE"/>
    <w:rsid w:val="00C03487"/>
    <w:rsid w:val="00C053A4"/>
    <w:rsid w:val="00C06A89"/>
    <w:rsid w:val="00C07ECD"/>
    <w:rsid w:val="00C13AC7"/>
    <w:rsid w:val="00C1550B"/>
    <w:rsid w:val="00C15B48"/>
    <w:rsid w:val="00C16738"/>
    <w:rsid w:val="00C26453"/>
    <w:rsid w:val="00C27236"/>
    <w:rsid w:val="00C31E89"/>
    <w:rsid w:val="00C36A80"/>
    <w:rsid w:val="00C36B3C"/>
    <w:rsid w:val="00C36D97"/>
    <w:rsid w:val="00C40E74"/>
    <w:rsid w:val="00C428DE"/>
    <w:rsid w:val="00C438D5"/>
    <w:rsid w:val="00C43EE2"/>
    <w:rsid w:val="00C45B3F"/>
    <w:rsid w:val="00C468A5"/>
    <w:rsid w:val="00C47985"/>
    <w:rsid w:val="00C50EE8"/>
    <w:rsid w:val="00C52E72"/>
    <w:rsid w:val="00C530D9"/>
    <w:rsid w:val="00C55CB3"/>
    <w:rsid w:val="00C60E46"/>
    <w:rsid w:val="00C6156A"/>
    <w:rsid w:val="00C616E0"/>
    <w:rsid w:val="00C64277"/>
    <w:rsid w:val="00C66E7A"/>
    <w:rsid w:val="00C6799E"/>
    <w:rsid w:val="00C67EBB"/>
    <w:rsid w:val="00C70149"/>
    <w:rsid w:val="00C74A7F"/>
    <w:rsid w:val="00C76A8C"/>
    <w:rsid w:val="00C80198"/>
    <w:rsid w:val="00C816F0"/>
    <w:rsid w:val="00C85019"/>
    <w:rsid w:val="00C85F11"/>
    <w:rsid w:val="00C8665B"/>
    <w:rsid w:val="00C87478"/>
    <w:rsid w:val="00C92209"/>
    <w:rsid w:val="00C93449"/>
    <w:rsid w:val="00C948C2"/>
    <w:rsid w:val="00C95062"/>
    <w:rsid w:val="00C95C2B"/>
    <w:rsid w:val="00C95CE0"/>
    <w:rsid w:val="00C969C9"/>
    <w:rsid w:val="00C97CFD"/>
    <w:rsid w:val="00CA376B"/>
    <w:rsid w:val="00CA70E5"/>
    <w:rsid w:val="00CA7818"/>
    <w:rsid w:val="00CB0641"/>
    <w:rsid w:val="00CB2044"/>
    <w:rsid w:val="00CB5BC3"/>
    <w:rsid w:val="00CB6901"/>
    <w:rsid w:val="00CC1E99"/>
    <w:rsid w:val="00CC5AA6"/>
    <w:rsid w:val="00CC6ED5"/>
    <w:rsid w:val="00CD4DDE"/>
    <w:rsid w:val="00CD662D"/>
    <w:rsid w:val="00CE4194"/>
    <w:rsid w:val="00CE7687"/>
    <w:rsid w:val="00CF221A"/>
    <w:rsid w:val="00CF3A26"/>
    <w:rsid w:val="00CF3A30"/>
    <w:rsid w:val="00CF57E7"/>
    <w:rsid w:val="00D03723"/>
    <w:rsid w:val="00D038AE"/>
    <w:rsid w:val="00D065CA"/>
    <w:rsid w:val="00D1010B"/>
    <w:rsid w:val="00D10E23"/>
    <w:rsid w:val="00D11C21"/>
    <w:rsid w:val="00D16B98"/>
    <w:rsid w:val="00D16F3A"/>
    <w:rsid w:val="00D2138C"/>
    <w:rsid w:val="00D22D79"/>
    <w:rsid w:val="00D23D7D"/>
    <w:rsid w:val="00D26CC4"/>
    <w:rsid w:val="00D31BB6"/>
    <w:rsid w:val="00D339B0"/>
    <w:rsid w:val="00D34C17"/>
    <w:rsid w:val="00D37BBF"/>
    <w:rsid w:val="00D41F82"/>
    <w:rsid w:val="00D433FD"/>
    <w:rsid w:val="00D4384F"/>
    <w:rsid w:val="00D46406"/>
    <w:rsid w:val="00D46ABA"/>
    <w:rsid w:val="00D514B5"/>
    <w:rsid w:val="00D5244C"/>
    <w:rsid w:val="00D531E2"/>
    <w:rsid w:val="00D60E6B"/>
    <w:rsid w:val="00D634FC"/>
    <w:rsid w:val="00D66655"/>
    <w:rsid w:val="00D67C82"/>
    <w:rsid w:val="00D72AD2"/>
    <w:rsid w:val="00D74DC4"/>
    <w:rsid w:val="00D77BA6"/>
    <w:rsid w:val="00D835E8"/>
    <w:rsid w:val="00D85BC0"/>
    <w:rsid w:val="00D91EA4"/>
    <w:rsid w:val="00D92EF0"/>
    <w:rsid w:val="00D931B9"/>
    <w:rsid w:val="00D932FF"/>
    <w:rsid w:val="00D937AB"/>
    <w:rsid w:val="00D93D58"/>
    <w:rsid w:val="00DA0404"/>
    <w:rsid w:val="00DA25C3"/>
    <w:rsid w:val="00DA3505"/>
    <w:rsid w:val="00DA5AE4"/>
    <w:rsid w:val="00DA7D5B"/>
    <w:rsid w:val="00DB1AB0"/>
    <w:rsid w:val="00DB3361"/>
    <w:rsid w:val="00DC196E"/>
    <w:rsid w:val="00DC292F"/>
    <w:rsid w:val="00DC55FE"/>
    <w:rsid w:val="00DC651C"/>
    <w:rsid w:val="00DC70D0"/>
    <w:rsid w:val="00DC75B0"/>
    <w:rsid w:val="00DD0CA1"/>
    <w:rsid w:val="00DD0DFF"/>
    <w:rsid w:val="00DD16CC"/>
    <w:rsid w:val="00DD324E"/>
    <w:rsid w:val="00DD399C"/>
    <w:rsid w:val="00DD3CA1"/>
    <w:rsid w:val="00DE1DC0"/>
    <w:rsid w:val="00DE210F"/>
    <w:rsid w:val="00DE29CC"/>
    <w:rsid w:val="00DE2ECE"/>
    <w:rsid w:val="00DE446A"/>
    <w:rsid w:val="00DF067C"/>
    <w:rsid w:val="00DF08DB"/>
    <w:rsid w:val="00DF69F0"/>
    <w:rsid w:val="00DF737C"/>
    <w:rsid w:val="00DF7B63"/>
    <w:rsid w:val="00E01514"/>
    <w:rsid w:val="00E023BB"/>
    <w:rsid w:val="00E038AE"/>
    <w:rsid w:val="00E15DB3"/>
    <w:rsid w:val="00E16FD8"/>
    <w:rsid w:val="00E20802"/>
    <w:rsid w:val="00E21204"/>
    <w:rsid w:val="00E224D2"/>
    <w:rsid w:val="00E2280C"/>
    <w:rsid w:val="00E26AFC"/>
    <w:rsid w:val="00E26C5A"/>
    <w:rsid w:val="00E275CB"/>
    <w:rsid w:val="00E31DE9"/>
    <w:rsid w:val="00E31F0F"/>
    <w:rsid w:val="00E32C0E"/>
    <w:rsid w:val="00E34012"/>
    <w:rsid w:val="00E3593B"/>
    <w:rsid w:val="00E37495"/>
    <w:rsid w:val="00E41D8D"/>
    <w:rsid w:val="00E42CB7"/>
    <w:rsid w:val="00E50840"/>
    <w:rsid w:val="00E515AD"/>
    <w:rsid w:val="00E53AA2"/>
    <w:rsid w:val="00E53B4B"/>
    <w:rsid w:val="00E60FCB"/>
    <w:rsid w:val="00E629F7"/>
    <w:rsid w:val="00E62D00"/>
    <w:rsid w:val="00E65604"/>
    <w:rsid w:val="00E66242"/>
    <w:rsid w:val="00E6738F"/>
    <w:rsid w:val="00E676C5"/>
    <w:rsid w:val="00E67EEE"/>
    <w:rsid w:val="00E700BD"/>
    <w:rsid w:val="00E703D0"/>
    <w:rsid w:val="00E72C80"/>
    <w:rsid w:val="00E73797"/>
    <w:rsid w:val="00E7497F"/>
    <w:rsid w:val="00E75754"/>
    <w:rsid w:val="00E8725B"/>
    <w:rsid w:val="00E87772"/>
    <w:rsid w:val="00E87B07"/>
    <w:rsid w:val="00E87B1D"/>
    <w:rsid w:val="00E962A6"/>
    <w:rsid w:val="00E97482"/>
    <w:rsid w:val="00EA4D72"/>
    <w:rsid w:val="00EA57A2"/>
    <w:rsid w:val="00EA627A"/>
    <w:rsid w:val="00EA70D8"/>
    <w:rsid w:val="00EA7801"/>
    <w:rsid w:val="00EB095C"/>
    <w:rsid w:val="00EB1AE4"/>
    <w:rsid w:val="00EB3537"/>
    <w:rsid w:val="00EB571C"/>
    <w:rsid w:val="00EB642E"/>
    <w:rsid w:val="00EB7B1E"/>
    <w:rsid w:val="00EB7D41"/>
    <w:rsid w:val="00EC2467"/>
    <w:rsid w:val="00EC4072"/>
    <w:rsid w:val="00EC5AD0"/>
    <w:rsid w:val="00EC65FA"/>
    <w:rsid w:val="00ED1158"/>
    <w:rsid w:val="00ED3508"/>
    <w:rsid w:val="00ED7A58"/>
    <w:rsid w:val="00EE1278"/>
    <w:rsid w:val="00EE3357"/>
    <w:rsid w:val="00EE4A82"/>
    <w:rsid w:val="00EE59C3"/>
    <w:rsid w:val="00EE6ECD"/>
    <w:rsid w:val="00EF2193"/>
    <w:rsid w:val="00EF32F8"/>
    <w:rsid w:val="00EF414E"/>
    <w:rsid w:val="00EF505C"/>
    <w:rsid w:val="00EF7FE6"/>
    <w:rsid w:val="00F0280B"/>
    <w:rsid w:val="00F02F20"/>
    <w:rsid w:val="00F0362A"/>
    <w:rsid w:val="00F04872"/>
    <w:rsid w:val="00F0704E"/>
    <w:rsid w:val="00F077D2"/>
    <w:rsid w:val="00F1145E"/>
    <w:rsid w:val="00F12C1E"/>
    <w:rsid w:val="00F138AE"/>
    <w:rsid w:val="00F31429"/>
    <w:rsid w:val="00F3450A"/>
    <w:rsid w:val="00F3771E"/>
    <w:rsid w:val="00F37F34"/>
    <w:rsid w:val="00F406CD"/>
    <w:rsid w:val="00F41FBD"/>
    <w:rsid w:val="00F42367"/>
    <w:rsid w:val="00F45400"/>
    <w:rsid w:val="00F45E98"/>
    <w:rsid w:val="00F46548"/>
    <w:rsid w:val="00F539CF"/>
    <w:rsid w:val="00F568A0"/>
    <w:rsid w:val="00F61650"/>
    <w:rsid w:val="00F65661"/>
    <w:rsid w:val="00F716A3"/>
    <w:rsid w:val="00F73973"/>
    <w:rsid w:val="00F8019C"/>
    <w:rsid w:val="00F82A43"/>
    <w:rsid w:val="00F8418D"/>
    <w:rsid w:val="00F84264"/>
    <w:rsid w:val="00F85318"/>
    <w:rsid w:val="00F877D3"/>
    <w:rsid w:val="00F92BE9"/>
    <w:rsid w:val="00F93DBC"/>
    <w:rsid w:val="00F93E04"/>
    <w:rsid w:val="00F96747"/>
    <w:rsid w:val="00F97AAC"/>
    <w:rsid w:val="00FA0019"/>
    <w:rsid w:val="00FA011B"/>
    <w:rsid w:val="00FA04F9"/>
    <w:rsid w:val="00FA0E31"/>
    <w:rsid w:val="00FA111C"/>
    <w:rsid w:val="00FA23B3"/>
    <w:rsid w:val="00FA24C4"/>
    <w:rsid w:val="00FA2C76"/>
    <w:rsid w:val="00FA2F01"/>
    <w:rsid w:val="00FA5B56"/>
    <w:rsid w:val="00FA7E8A"/>
    <w:rsid w:val="00FB0058"/>
    <w:rsid w:val="00FB0BB4"/>
    <w:rsid w:val="00FB0EB5"/>
    <w:rsid w:val="00FB4860"/>
    <w:rsid w:val="00FB76BA"/>
    <w:rsid w:val="00FC028C"/>
    <w:rsid w:val="00FC05F3"/>
    <w:rsid w:val="00FC06E7"/>
    <w:rsid w:val="00FC1658"/>
    <w:rsid w:val="00FC435D"/>
    <w:rsid w:val="00FC69F3"/>
    <w:rsid w:val="00FC6BC1"/>
    <w:rsid w:val="00FC78B8"/>
    <w:rsid w:val="00FC7F22"/>
    <w:rsid w:val="00FD0708"/>
    <w:rsid w:val="00FD11DA"/>
    <w:rsid w:val="00FD2607"/>
    <w:rsid w:val="00FD49C4"/>
    <w:rsid w:val="00FD4FAE"/>
    <w:rsid w:val="00FD53B6"/>
    <w:rsid w:val="00FD777C"/>
    <w:rsid w:val="00FE2D6E"/>
    <w:rsid w:val="00FE7775"/>
    <w:rsid w:val="00FE7B30"/>
    <w:rsid w:val="00FF25F7"/>
    <w:rsid w:val="00FF3573"/>
    <w:rsid w:val="00FF3944"/>
    <w:rsid w:val="00FF5337"/>
    <w:rsid w:val="00FF6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067AD"/>
    <w:pPr>
      <w:spacing w:after="200" w:line="276" w:lineRule="auto"/>
    </w:pPr>
    <w:rPr>
      <w:lang w:val="en-GB"/>
    </w:rPr>
  </w:style>
  <w:style w:type="paragraph" w:styleId="Heading1">
    <w:name w:val="heading 1"/>
    <w:basedOn w:val="Normal"/>
    <w:next w:val="Normal"/>
    <w:link w:val="Heading1Char"/>
    <w:uiPriority w:val="99"/>
    <w:qFormat/>
    <w:rsid w:val="00501E92"/>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501E92"/>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501E92"/>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501E92"/>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501E92"/>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501E92"/>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501E92"/>
    <w:pPr>
      <w:spacing w:after="0"/>
      <w:outlineLvl w:val="6"/>
    </w:pPr>
    <w:rPr>
      <w:rFonts w:ascii="Cambria" w:hAnsi="Cambria"/>
      <w:i/>
      <w:iCs/>
    </w:rPr>
  </w:style>
  <w:style w:type="paragraph" w:styleId="Heading8">
    <w:name w:val="heading 8"/>
    <w:basedOn w:val="Normal"/>
    <w:next w:val="Normal"/>
    <w:link w:val="Heading8Char"/>
    <w:uiPriority w:val="99"/>
    <w:qFormat/>
    <w:rsid w:val="00501E92"/>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501E92"/>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1E92"/>
    <w:rPr>
      <w:rFonts w:ascii="Cambria" w:hAnsi="Cambria" w:cs="Times New Roman"/>
      <w:b/>
      <w:bCs/>
      <w:sz w:val="28"/>
      <w:szCs w:val="28"/>
    </w:rPr>
  </w:style>
  <w:style w:type="character" w:customStyle="1" w:styleId="Heading2Char">
    <w:name w:val="Heading 2 Char"/>
    <w:basedOn w:val="DefaultParagraphFont"/>
    <w:link w:val="Heading2"/>
    <w:uiPriority w:val="99"/>
    <w:locked/>
    <w:rsid w:val="00501E92"/>
    <w:rPr>
      <w:rFonts w:ascii="Cambria" w:hAnsi="Cambria" w:cs="Times New Roman"/>
      <w:b/>
      <w:bCs/>
      <w:sz w:val="26"/>
      <w:szCs w:val="26"/>
    </w:rPr>
  </w:style>
  <w:style w:type="character" w:customStyle="1" w:styleId="Heading3Char">
    <w:name w:val="Heading 3 Char"/>
    <w:basedOn w:val="DefaultParagraphFont"/>
    <w:link w:val="Heading3"/>
    <w:uiPriority w:val="99"/>
    <w:locked/>
    <w:rsid w:val="00501E92"/>
    <w:rPr>
      <w:rFonts w:ascii="Cambria" w:hAnsi="Cambria" w:cs="Times New Roman"/>
      <w:b/>
      <w:bCs/>
    </w:rPr>
  </w:style>
  <w:style w:type="character" w:customStyle="1" w:styleId="Heading4Char">
    <w:name w:val="Heading 4 Char"/>
    <w:basedOn w:val="DefaultParagraphFont"/>
    <w:link w:val="Heading4"/>
    <w:uiPriority w:val="99"/>
    <w:semiHidden/>
    <w:locked/>
    <w:rsid w:val="00501E92"/>
    <w:rPr>
      <w:rFonts w:ascii="Cambria" w:hAnsi="Cambria" w:cs="Times New Roman"/>
      <w:b/>
      <w:bCs/>
      <w:i/>
      <w:iCs/>
    </w:rPr>
  </w:style>
  <w:style w:type="character" w:customStyle="1" w:styleId="Heading5Char">
    <w:name w:val="Heading 5 Char"/>
    <w:basedOn w:val="DefaultParagraphFont"/>
    <w:link w:val="Heading5"/>
    <w:uiPriority w:val="99"/>
    <w:semiHidden/>
    <w:locked/>
    <w:rsid w:val="00501E92"/>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501E92"/>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501E92"/>
    <w:rPr>
      <w:rFonts w:ascii="Cambria" w:hAnsi="Cambria" w:cs="Times New Roman"/>
      <w:i/>
      <w:iCs/>
    </w:rPr>
  </w:style>
  <w:style w:type="character" w:customStyle="1" w:styleId="Heading8Char">
    <w:name w:val="Heading 8 Char"/>
    <w:basedOn w:val="DefaultParagraphFont"/>
    <w:link w:val="Heading8"/>
    <w:uiPriority w:val="99"/>
    <w:semiHidden/>
    <w:locked/>
    <w:rsid w:val="00501E92"/>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501E92"/>
    <w:rPr>
      <w:rFonts w:ascii="Cambria" w:hAnsi="Cambria" w:cs="Times New Roman"/>
      <w:i/>
      <w:iCs/>
      <w:spacing w:val="5"/>
      <w:sz w:val="20"/>
      <w:szCs w:val="20"/>
    </w:rPr>
  </w:style>
  <w:style w:type="paragraph" w:styleId="List">
    <w:name w:val="List"/>
    <w:basedOn w:val="Normal"/>
    <w:uiPriority w:val="99"/>
    <w:rsid w:val="003633D5"/>
    <w:pPr>
      <w:ind w:left="283" w:hanging="283"/>
    </w:pPr>
    <w:rPr>
      <w:rFonts w:ascii="Arial" w:hAnsi="Arial"/>
      <w:sz w:val="20"/>
    </w:rPr>
  </w:style>
  <w:style w:type="paragraph" w:styleId="BodyTextIndent">
    <w:name w:val="Body Text Indent"/>
    <w:basedOn w:val="Normal"/>
    <w:link w:val="BodyTextIndentChar"/>
    <w:uiPriority w:val="99"/>
    <w:rsid w:val="003633D5"/>
    <w:pPr>
      <w:ind w:left="720"/>
    </w:pPr>
  </w:style>
  <w:style w:type="character" w:customStyle="1" w:styleId="BodyTextIndentChar">
    <w:name w:val="Body Text Indent Char"/>
    <w:basedOn w:val="DefaultParagraphFont"/>
    <w:link w:val="BodyTextIndent"/>
    <w:uiPriority w:val="99"/>
    <w:semiHidden/>
    <w:rsid w:val="00352754"/>
    <w:rPr>
      <w:lang w:val="en-GB"/>
    </w:rPr>
  </w:style>
  <w:style w:type="paragraph" w:styleId="BalloonText">
    <w:name w:val="Balloon Text"/>
    <w:basedOn w:val="Normal"/>
    <w:link w:val="BalloonTextChar"/>
    <w:uiPriority w:val="99"/>
    <w:semiHidden/>
    <w:rsid w:val="00167CE2"/>
    <w:rPr>
      <w:rFonts w:ascii="Tahoma" w:hAnsi="Tahoma" w:cs="Tahoma"/>
      <w:sz w:val="16"/>
      <w:szCs w:val="16"/>
    </w:rPr>
  </w:style>
  <w:style w:type="character" w:customStyle="1" w:styleId="BalloonTextChar">
    <w:name w:val="Balloon Text Char"/>
    <w:basedOn w:val="DefaultParagraphFont"/>
    <w:link w:val="BalloonText"/>
    <w:uiPriority w:val="99"/>
    <w:semiHidden/>
    <w:rsid w:val="00352754"/>
    <w:rPr>
      <w:rFonts w:ascii="Times New Roman" w:hAnsi="Times New Roman"/>
      <w:sz w:val="0"/>
      <w:szCs w:val="0"/>
      <w:lang w:val="en-GB"/>
    </w:rPr>
  </w:style>
  <w:style w:type="paragraph" w:customStyle="1" w:styleId="Char">
    <w:name w:val="Char"/>
    <w:basedOn w:val="Normal"/>
    <w:uiPriority w:val="99"/>
    <w:semiHidden/>
    <w:rsid w:val="008C267D"/>
    <w:pPr>
      <w:spacing w:after="160" w:line="240" w:lineRule="exact"/>
    </w:pPr>
    <w:rPr>
      <w:rFonts w:ascii="Tahoma" w:hAnsi="Tahoma"/>
      <w:sz w:val="20"/>
      <w:szCs w:val="20"/>
    </w:rPr>
  </w:style>
  <w:style w:type="paragraph" w:styleId="Title">
    <w:name w:val="Title"/>
    <w:basedOn w:val="Normal"/>
    <w:next w:val="Normal"/>
    <w:link w:val="TitleChar"/>
    <w:uiPriority w:val="99"/>
    <w:qFormat/>
    <w:rsid w:val="00501E92"/>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501E92"/>
    <w:rPr>
      <w:rFonts w:ascii="Cambria" w:hAnsi="Cambria" w:cs="Times New Roman"/>
      <w:spacing w:val="5"/>
      <w:sz w:val="52"/>
      <w:szCs w:val="52"/>
    </w:rPr>
  </w:style>
  <w:style w:type="paragraph" w:styleId="Subtitle">
    <w:name w:val="Subtitle"/>
    <w:basedOn w:val="Normal"/>
    <w:next w:val="Normal"/>
    <w:link w:val="SubtitleChar"/>
    <w:uiPriority w:val="99"/>
    <w:qFormat/>
    <w:rsid w:val="00501E92"/>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501E92"/>
    <w:rPr>
      <w:rFonts w:ascii="Cambria" w:hAnsi="Cambria" w:cs="Times New Roman"/>
      <w:i/>
      <w:iCs/>
      <w:spacing w:val="13"/>
      <w:sz w:val="24"/>
      <w:szCs w:val="24"/>
    </w:rPr>
  </w:style>
  <w:style w:type="character" w:styleId="Strong">
    <w:name w:val="Strong"/>
    <w:basedOn w:val="DefaultParagraphFont"/>
    <w:uiPriority w:val="99"/>
    <w:qFormat/>
    <w:rsid w:val="00501E92"/>
    <w:rPr>
      <w:rFonts w:cs="Times New Roman"/>
      <w:b/>
    </w:rPr>
  </w:style>
  <w:style w:type="character" w:styleId="Emphasis">
    <w:name w:val="Emphasis"/>
    <w:basedOn w:val="DefaultParagraphFont"/>
    <w:uiPriority w:val="99"/>
    <w:qFormat/>
    <w:rsid w:val="00501E92"/>
    <w:rPr>
      <w:rFonts w:cs="Times New Roman"/>
      <w:b/>
      <w:i/>
      <w:spacing w:val="10"/>
      <w:shd w:val="clear" w:color="auto" w:fill="auto"/>
    </w:rPr>
  </w:style>
  <w:style w:type="paragraph" w:styleId="NoSpacing">
    <w:name w:val="No Spacing"/>
    <w:basedOn w:val="Normal"/>
    <w:uiPriority w:val="99"/>
    <w:qFormat/>
    <w:rsid w:val="00501E92"/>
    <w:pPr>
      <w:spacing w:after="0" w:line="240" w:lineRule="auto"/>
    </w:pPr>
  </w:style>
  <w:style w:type="paragraph" w:styleId="ListParagraph">
    <w:name w:val="List Paragraph"/>
    <w:basedOn w:val="Normal"/>
    <w:uiPriority w:val="99"/>
    <w:qFormat/>
    <w:rsid w:val="00501E92"/>
    <w:pPr>
      <w:ind w:left="720"/>
      <w:contextualSpacing/>
    </w:pPr>
  </w:style>
  <w:style w:type="paragraph" w:styleId="Quote">
    <w:name w:val="Quote"/>
    <w:basedOn w:val="Normal"/>
    <w:next w:val="Normal"/>
    <w:link w:val="QuoteChar"/>
    <w:uiPriority w:val="99"/>
    <w:qFormat/>
    <w:rsid w:val="00501E92"/>
    <w:pPr>
      <w:spacing w:before="200" w:after="0"/>
      <w:ind w:left="360" w:right="360"/>
    </w:pPr>
    <w:rPr>
      <w:i/>
      <w:iCs/>
    </w:rPr>
  </w:style>
  <w:style w:type="character" w:customStyle="1" w:styleId="QuoteChar">
    <w:name w:val="Quote Char"/>
    <w:basedOn w:val="DefaultParagraphFont"/>
    <w:link w:val="Quote"/>
    <w:uiPriority w:val="99"/>
    <w:locked/>
    <w:rsid w:val="00501E92"/>
    <w:rPr>
      <w:rFonts w:cs="Times New Roman"/>
      <w:i/>
      <w:iCs/>
    </w:rPr>
  </w:style>
  <w:style w:type="paragraph" w:styleId="IntenseQuote">
    <w:name w:val="Intense Quote"/>
    <w:basedOn w:val="Normal"/>
    <w:next w:val="Normal"/>
    <w:link w:val="IntenseQuoteChar"/>
    <w:uiPriority w:val="99"/>
    <w:qFormat/>
    <w:rsid w:val="00501E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501E92"/>
    <w:rPr>
      <w:rFonts w:cs="Times New Roman"/>
      <w:b/>
      <w:bCs/>
      <w:i/>
      <w:iCs/>
    </w:rPr>
  </w:style>
  <w:style w:type="character" w:styleId="SubtleEmphasis">
    <w:name w:val="Subtle Emphasis"/>
    <w:basedOn w:val="DefaultParagraphFont"/>
    <w:uiPriority w:val="99"/>
    <w:qFormat/>
    <w:rsid w:val="00501E92"/>
    <w:rPr>
      <w:i/>
    </w:rPr>
  </w:style>
  <w:style w:type="character" w:styleId="IntenseEmphasis">
    <w:name w:val="Intense Emphasis"/>
    <w:basedOn w:val="DefaultParagraphFont"/>
    <w:uiPriority w:val="99"/>
    <w:qFormat/>
    <w:rsid w:val="00501E92"/>
    <w:rPr>
      <w:b/>
    </w:rPr>
  </w:style>
  <w:style w:type="character" w:styleId="SubtleReference">
    <w:name w:val="Subtle Reference"/>
    <w:basedOn w:val="DefaultParagraphFont"/>
    <w:uiPriority w:val="99"/>
    <w:qFormat/>
    <w:rsid w:val="00501E92"/>
    <w:rPr>
      <w:smallCaps/>
    </w:rPr>
  </w:style>
  <w:style w:type="character" w:styleId="IntenseReference">
    <w:name w:val="Intense Reference"/>
    <w:basedOn w:val="DefaultParagraphFont"/>
    <w:uiPriority w:val="99"/>
    <w:qFormat/>
    <w:rsid w:val="00501E92"/>
    <w:rPr>
      <w:smallCaps/>
      <w:spacing w:val="5"/>
      <w:u w:val="single"/>
    </w:rPr>
  </w:style>
  <w:style w:type="character" w:styleId="BookTitle">
    <w:name w:val="Book Title"/>
    <w:basedOn w:val="DefaultParagraphFont"/>
    <w:uiPriority w:val="99"/>
    <w:qFormat/>
    <w:rsid w:val="00501E92"/>
    <w:rPr>
      <w:i/>
      <w:smallCaps/>
      <w:spacing w:val="5"/>
    </w:rPr>
  </w:style>
  <w:style w:type="paragraph" w:styleId="TOCHeading">
    <w:name w:val="TOC Heading"/>
    <w:basedOn w:val="Heading1"/>
    <w:next w:val="Normal"/>
    <w:uiPriority w:val="99"/>
    <w:qFormat/>
    <w:rsid w:val="00501E92"/>
    <w:pPr>
      <w:outlineLvl w:val="9"/>
    </w:pPr>
  </w:style>
  <w:style w:type="table" w:styleId="TableGrid">
    <w:name w:val="Table Grid"/>
    <w:basedOn w:val="TableNormal"/>
    <w:uiPriority w:val="99"/>
    <w:rsid w:val="00701CD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rsid w:val="003B4D7F"/>
    <w:rPr>
      <w:rFonts w:ascii="Tahoma" w:hAnsi="Tahoma" w:cs="Tahoma"/>
      <w:sz w:val="16"/>
      <w:szCs w:val="16"/>
    </w:rPr>
  </w:style>
  <w:style w:type="character" w:customStyle="1" w:styleId="DocumentMapChar">
    <w:name w:val="Document Map Char"/>
    <w:basedOn w:val="DefaultParagraphFont"/>
    <w:link w:val="DocumentMap"/>
    <w:uiPriority w:val="99"/>
    <w:locked/>
    <w:rsid w:val="003B4D7F"/>
    <w:rPr>
      <w:rFonts w:ascii="Tahoma" w:hAnsi="Tahoma" w:cs="Tahoma"/>
      <w:sz w:val="16"/>
      <w:szCs w:val="16"/>
    </w:rPr>
  </w:style>
  <w:style w:type="paragraph" w:styleId="Header">
    <w:name w:val="header"/>
    <w:basedOn w:val="Normal"/>
    <w:link w:val="HeaderChar"/>
    <w:uiPriority w:val="99"/>
    <w:semiHidden/>
    <w:rsid w:val="005C15E9"/>
    <w:pPr>
      <w:tabs>
        <w:tab w:val="center" w:pos="4680"/>
        <w:tab w:val="right" w:pos="9360"/>
      </w:tabs>
    </w:pPr>
  </w:style>
  <w:style w:type="character" w:customStyle="1" w:styleId="HeaderChar">
    <w:name w:val="Header Char"/>
    <w:basedOn w:val="DefaultParagraphFont"/>
    <w:link w:val="Header"/>
    <w:uiPriority w:val="99"/>
    <w:semiHidden/>
    <w:locked/>
    <w:rsid w:val="005C15E9"/>
    <w:rPr>
      <w:rFonts w:cs="Times New Roman"/>
      <w:sz w:val="22"/>
      <w:szCs w:val="22"/>
    </w:rPr>
  </w:style>
  <w:style w:type="paragraph" w:styleId="Footer">
    <w:name w:val="footer"/>
    <w:basedOn w:val="Normal"/>
    <w:link w:val="FooterChar"/>
    <w:uiPriority w:val="99"/>
    <w:rsid w:val="005C15E9"/>
    <w:pPr>
      <w:tabs>
        <w:tab w:val="center" w:pos="4680"/>
        <w:tab w:val="right" w:pos="9360"/>
      </w:tabs>
    </w:pPr>
  </w:style>
  <w:style w:type="character" w:customStyle="1" w:styleId="FooterChar">
    <w:name w:val="Footer Char"/>
    <w:basedOn w:val="DefaultParagraphFont"/>
    <w:link w:val="Footer"/>
    <w:uiPriority w:val="99"/>
    <w:locked/>
    <w:rsid w:val="005C15E9"/>
    <w:rPr>
      <w:rFonts w:cs="Times New Roman"/>
      <w:sz w:val="22"/>
      <w:szCs w:val="22"/>
    </w:rPr>
  </w:style>
  <w:style w:type="character" w:styleId="Hyperlink">
    <w:name w:val="Hyperlink"/>
    <w:basedOn w:val="DefaultParagraphFont"/>
    <w:uiPriority w:val="99"/>
    <w:rsid w:val="005A36F1"/>
    <w:rPr>
      <w:rFonts w:cs="Times New Roman"/>
      <w:color w:val="0000FF"/>
      <w:u w:val="single"/>
    </w:rPr>
  </w:style>
  <w:style w:type="paragraph" w:customStyle="1" w:styleId="CharCharChar">
    <w:name w:val="Char Char Char"/>
    <w:basedOn w:val="Normal"/>
    <w:uiPriority w:val="99"/>
    <w:semiHidden/>
    <w:rsid w:val="00910FDB"/>
    <w:pPr>
      <w:spacing w:after="160" w:line="240" w:lineRule="exact"/>
    </w:pPr>
    <w:rPr>
      <w:rFonts w:ascii="Tahoma" w:hAnsi="Tahoma"/>
      <w:sz w:val="20"/>
      <w:szCs w:val="20"/>
    </w:rPr>
  </w:style>
  <w:style w:type="paragraph" w:customStyle="1" w:styleId="Default">
    <w:name w:val="Default"/>
    <w:rsid w:val="00023B3A"/>
    <w:pPr>
      <w:autoSpaceDE w:val="0"/>
      <w:autoSpaceDN w:val="0"/>
      <w:adjustRightInd w:val="0"/>
    </w:pPr>
    <w:rPr>
      <w:rFonts w:cs="Calibri"/>
      <w:color w:val="000000"/>
      <w:sz w:val="24"/>
      <w:szCs w:val="24"/>
      <w:lang w:val="en-IE"/>
    </w:rPr>
  </w:style>
  <w:style w:type="character" w:styleId="CommentReference">
    <w:name w:val="annotation reference"/>
    <w:basedOn w:val="DefaultParagraphFont"/>
    <w:uiPriority w:val="99"/>
    <w:semiHidden/>
    <w:unhideWhenUsed/>
    <w:rsid w:val="0016127F"/>
    <w:rPr>
      <w:sz w:val="16"/>
      <w:szCs w:val="16"/>
    </w:rPr>
  </w:style>
  <w:style w:type="paragraph" w:styleId="CommentText">
    <w:name w:val="annotation text"/>
    <w:basedOn w:val="Normal"/>
    <w:link w:val="CommentTextChar"/>
    <w:uiPriority w:val="99"/>
    <w:semiHidden/>
    <w:unhideWhenUsed/>
    <w:rsid w:val="0016127F"/>
    <w:pPr>
      <w:spacing w:line="240" w:lineRule="auto"/>
    </w:pPr>
    <w:rPr>
      <w:sz w:val="20"/>
      <w:szCs w:val="20"/>
    </w:rPr>
  </w:style>
  <w:style w:type="character" w:customStyle="1" w:styleId="CommentTextChar">
    <w:name w:val="Comment Text Char"/>
    <w:basedOn w:val="DefaultParagraphFont"/>
    <w:link w:val="CommentText"/>
    <w:uiPriority w:val="99"/>
    <w:semiHidden/>
    <w:rsid w:val="0016127F"/>
    <w:rPr>
      <w:sz w:val="20"/>
      <w:szCs w:val="20"/>
      <w:lang w:val="en-GB"/>
    </w:rPr>
  </w:style>
  <w:style w:type="paragraph" w:styleId="CommentSubject">
    <w:name w:val="annotation subject"/>
    <w:basedOn w:val="CommentText"/>
    <w:next w:val="CommentText"/>
    <w:link w:val="CommentSubjectChar"/>
    <w:uiPriority w:val="99"/>
    <w:semiHidden/>
    <w:unhideWhenUsed/>
    <w:rsid w:val="0016127F"/>
    <w:rPr>
      <w:b/>
      <w:bCs/>
    </w:rPr>
  </w:style>
  <w:style w:type="character" w:customStyle="1" w:styleId="CommentSubjectChar">
    <w:name w:val="Comment Subject Char"/>
    <w:basedOn w:val="CommentTextChar"/>
    <w:link w:val="CommentSubject"/>
    <w:uiPriority w:val="99"/>
    <w:semiHidden/>
    <w:rsid w:val="0016127F"/>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067AD"/>
    <w:pPr>
      <w:spacing w:after="200" w:line="276" w:lineRule="auto"/>
    </w:pPr>
    <w:rPr>
      <w:lang w:val="en-GB"/>
    </w:rPr>
  </w:style>
  <w:style w:type="paragraph" w:styleId="Heading1">
    <w:name w:val="heading 1"/>
    <w:basedOn w:val="Normal"/>
    <w:next w:val="Normal"/>
    <w:link w:val="Heading1Char"/>
    <w:uiPriority w:val="99"/>
    <w:qFormat/>
    <w:rsid w:val="00501E92"/>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501E92"/>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501E92"/>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501E92"/>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501E92"/>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501E92"/>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501E92"/>
    <w:pPr>
      <w:spacing w:after="0"/>
      <w:outlineLvl w:val="6"/>
    </w:pPr>
    <w:rPr>
      <w:rFonts w:ascii="Cambria" w:hAnsi="Cambria"/>
      <w:i/>
      <w:iCs/>
    </w:rPr>
  </w:style>
  <w:style w:type="paragraph" w:styleId="Heading8">
    <w:name w:val="heading 8"/>
    <w:basedOn w:val="Normal"/>
    <w:next w:val="Normal"/>
    <w:link w:val="Heading8Char"/>
    <w:uiPriority w:val="99"/>
    <w:qFormat/>
    <w:rsid w:val="00501E92"/>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501E92"/>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1E92"/>
    <w:rPr>
      <w:rFonts w:ascii="Cambria" w:hAnsi="Cambria" w:cs="Times New Roman"/>
      <w:b/>
      <w:bCs/>
      <w:sz w:val="28"/>
      <w:szCs w:val="28"/>
    </w:rPr>
  </w:style>
  <w:style w:type="character" w:customStyle="1" w:styleId="Heading2Char">
    <w:name w:val="Heading 2 Char"/>
    <w:basedOn w:val="DefaultParagraphFont"/>
    <w:link w:val="Heading2"/>
    <w:uiPriority w:val="99"/>
    <w:locked/>
    <w:rsid w:val="00501E92"/>
    <w:rPr>
      <w:rFonts w:ascii="Cambria" w:hAnsi="Cambria" w:cs="Times New Roman"/>
      <w:b/>
      <w:bCs/>
      <w:sz w:val="26"/>
      <w:szCs w:val="26"/>
    </w:rPr>
  </w:style>
  <w:style w:type="character" w:customStyle="1" w:styleId="Heading3Char">
    <w:name w:val="Heading 3 Char"/>
    <w:basedOn w:val="DefaultParagraphFont"/>
    <w:link w:val="Heading3"/>
    <w:uiPriority w:val="99"/>
    <w:locked/>
    <w:rsid w:val="00501E92"/>
    <w:rPr>
      <w:rFonts w:ascii="Cambria" w:hAnsi="Cambria" w:cs="Times New Roman"/>
      <w:b/>
      <w:bCs/>
    </w:rPr>
  </w:style>
  <w:style w:type="character" w:customStyle="1" w:styleId="Heading4Char">
    <w:name w:val="Heading 4 Char"/>
    <w:basedOn w:val="DefaultParagraphFont"/>
    <w:link w:val="Heading4"/>
    <w:uiPriority w:val="99"/>
    <w:semiHidden/>
    <w:locked/>
    <w:rsid w:val="00501E92"/>
    <w:rPr>
      <w:rFonts w:ascii="Cambria" w:hAnsi="Cambria" w:cs="Times New Roman"/>
      <w:b/>
      <w:bCs/>
      <w:i/>
      <w:iCs/>
    </w:rPr>
  </w:style>
  <w:style w:type="character" w:customStyle="1" w:styleId="Heading5Char">
    <w:name w:val="Heading 5 Char"/>
    <w:basedOn w:val="DefaultParagraphFont"/>
    <w:link w:val="Heading5"/>
    <w:uiPriority w:val="99"/>
    <w:semiHidden/>
    <w:locked/>
    <w:rsid w:val="00501E92"/>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501E92"/>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501E92"/>
    <w:rPr>
      <w:rFonts w:ascii="Cambria" w:hAnsi="Cambria" w:cs="Times New Roman"/>
      <w:i/>
      <w:iCs/>
    </w:rPr>
  </w:style>
  <w:style w:type="character" w:customStyle="1" w:styleId="Heading8Char">
    <w:name w:val="Heading 8 Char"/>
    <w:basedOn w:val="DefaultParagraphFont"/>
    <w:link w:val="Heading8"/>
    <w:uiPriority w:val="99"/>
    <w:semiHidden/>
    <w:locked/>
    <w:rsid w:val="00501E92"/>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501E92"/>
    <w:rPr>
      <w:rFonts w:ascii="Cambria" w:hAnsi="Cambria" w:cs="Times New Roman"/>
      <w:i/>
      <w:iCs/>
      <w:spacing w:val="5"/>
      <w:sz w:val="20"/>
      <w:szCs w:val="20"/>
    </w:rPr>
  </w:style>
  <w:style w:type="paragraph" w:styleId="List">
    <w:name w:val="List"/>
    <w:basedOn w:val="Normal"/>
    <w:uiPriority w:val="99"/>
    <w:rsid w:val="003633D5"/>
    <w:pPr>
      <w:ind w:left="283" w:hanging="283"/>
    </w:pPr>
    <w:rPr>
      <w:rFonts w:ascii="Arial" w:hAnsi="Arial"/>
      <w:sz w:val="20"/>
    </w:rPr>
  </w:style>
  <w:style w:type="paragraph" w:styleId="BodyTextIndent">
    <w:name w:val="Body Text Indent"/>
    <w:basedOn w:val="Normal"/>
    <w:link w:val="BodyTextIndentChar"/>
    <w:uiPriority w:val="99"/>
    <w:rsid w:val="003633D5"/>
    <w:pPr>
      <w:ind w:left="720"/>
    </w:pPr>
  </w:style>
  <w:style w:type="character" w:customStyle="1" w:styleId="BodyTextIndentChar">
    <w:name w:val="Body Text Indent Char"/>
    <w:basedOn w:val="DefaultParagraphFont"/>
    <w:link w:val="BodyTextIndent"/>
    <w:uiPriority w:val="99"/>
    <w:semiHidden/>
    <w:rsid w:val="00352754"/>
    <w:rPr>
      <w:lang w:val="en-GB"/>
    </w:rPr>
  </w:style>
  <w:style w:type="paragraph" w:styleId="BalloonText">
    <w:name w:val="Balloon Text"/>
    <w:basedOn w:val="Normal"/>
    <w:link w:val="BalloonTextChar"/>
    <w:uiPriority w:val="99"/>
    <w:semiHidden/>
    <w:rsid w:val="00167CE2"/>
    <w:rPr>
      <w:rFonts w:ascii="Tahoma" w:hAnsi="Tahoma" w:cs="Tahoma"/>
      <w:sz w:val="16"/>
      <w:szCs w:val="16"/>
    </w:rPr>
  </w:style>
  <w:style w:type="character" w:customStyle="1" w:styleId="BalloonTextChar">
    <w:name w:val="Balloon Text Char"/>
    <w:basedOn w:val="DefaultParagraphFont"/>
    <w:link w:val="BalloonText"/>
    <w:uiPriority w:val="99"/>
    <w:semiHidden/>
    <w:rsid w:val="00352754"/>
    <w:rPr>
      <w:rFonts w:ascii="Times New Roman" w:hAnsi="Times New Roman"/>
      <w:sz w:val="0"/>
      <w:szCs w:val="0"/>
      <w:lang w:val="en-GB"/>
    </w:rPr>
  </w:style>
  <w:style w:type="paragraph" w:customStyle="1" w:styleId="Char">
    <w:name w:val="Char"/>
    <w:basedOn w:val="Normal"/>
    <w:uiPriority w:val="99"/>
    <w:semiHidden/>
    <w:rsid w:val="008C267D"/>
    <w:pPr>
      <w:spacing w:after="160" w:line="240" w:lineRule="exact"/>
    </w:pPr>
    <w:rPr>
      <w:rFonts w:ascii="Tahoma" w:hAnsi="Tahoma"/>
      <w:sz w:val="20"/>
      <w:szCs w:val="20"/>
    </w:rPr>
  </w:style>
  <w:style w:type="paragraph" w:styleId="Title">
    <w:name w:val="Title"/>
    <w:basedOn w:val="Normal"/>
    <w:next w:val="Normal"/>
    <w:link w:val="TitleChar"/>
    <w:uiPriority w:val="99"/>
    <w:qFormat/>
    <w:rsid w:val="00501E92"/>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501E92"/>
    <w:rPr>
      <w:rFonts w:ascii="Cambria" w:hAnsi="Cambria" w:cs="Times New Roman"/>
      <w:spacing w:val="5"/>
      <w:sz w:val="52"/>
      <w:szCs w:val="52"/>
    </w:rPr>
  </w:style>
  <w:style w:type="paragraph" w:styleId="Subtitle">
    <w:name w:val="Subtitle"/>
    <w:basedOn w:val="Normal"/>
    <w:next w:val="Normal"/>
    <w:link w:val="SubtitleChar"/>
    <w:uiPriority w:val="99"/>
    <w:qFormat/>
    <w:rsid w:val="00501E92"/>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501E92"/>
    <w:rPr>
      <w:rFonts w:ascii="Cambria" w:hAnsi="Cambria" w:cs="Times New Roman"/>
      <w:i/>
      <w:iCs/>
      <w:spacing w:val="13"/>
      <w:sz w:val="24"/>
      <w:szCs w:val="24"/>
    </w:rPr>
  </w:style>
  <w:style w:type="character" w:styleId="Strong">
    <w:name w:val="Strong"/>
    <w:basedOn w:val="DefaultParagraphFont"/>
    <w:uiPriority w:val="99"/>
    <w:qFormat/>
    <w:rsid w:val="00501E92"/>
    <w:rPr>
      <w:rFonts w:cs="Times New Roman"/>
      <w:b/>
    </w:rPr>
  </w:style>
  <w:style w:type="character" w:styleId="Emphasis">
    <w:name w:val="Emphasis"/>
    <w:basedOn w:val="DefaultParagraphFont"/>
    <w:uiPriority w:val="99"/>
    <w:qFormat/>
    <w:rsid w:val="00501E92"/>
    <w:rPr>
      <w:rFonts w:cs="Times New Roman"/>
      <w:b/>
      <w:i/>
      <w:spacing w:val="10"/>
      <w:shd w:val="clear" w:color="auto" w:fill="auto"/>
    </w:rPr>
  </w:style>
  <w:style w:type="paragraph" w:styleId="NoSpacing">
    <w:name w:val="No Spacing"/>
    <w:basedOn w:val="Normal"/>
    <w:uiPriority w:val="99"/>
    <w:qFormat/>
    <w:rsid w:val="00501E92"/>
    <w:pPr>
      <w:spacing w:after="0" w:line="240" w:lineRule="auto"/>
    </w:pPr>
  </w:style>
  <w:style w:type="paragraph" w:styleId="ListParagraph">
    <w:name w:val="List Paragraph"/>
    <w:basedOn w:val="Normal"/>
    <w:uiPriority w:val="99"/>
    <w:qFormat/>
    <w:rsid w:val="00501E92"/>
    <w:pPr>
      <w:ind w:left="720"/>
      <w:contextualSpacing/>
    </w:pPr>
  </w:style>
  <w:style w:type="paragraph" w:styleId="Quote">
    <w:name w:val="Quote"/>
    <w:basedOn w:val="Normal"/>
    <w:next w:val="Normal"/>
    <w:link w:val="QuoteChar"/>
    <w:uiPriority w:val="99"/>
    <w:qFormat/>
    <w:rsid w:val="00501E92"/>
    <w:pPr>
      <w:spacing w:before="200" w:after="0"/>
      <w:ind w:left="360" w:right="360"/>
    </w:pPr>
    <w:rPr>
      <w:i/>
      <w:iCs/>
    </w:rPr>
  </w:style>
  <w:style w:type="character" w:customStyle="1" w:styleId="QuoteChar">
    <w:name w:val="Quote Char"/>
    <w:basedOn w:val="DefaultParagraphFont"/>
    <w:link w:val="Quote"/>
    <w:uiPriority w:val="99"/>
    <w:locked/>
    <w:rsid w:val="00501E92"/>
    <w:rPr>
      <w:rFonts w:cs="Times New Roman"/>
      <w:i/>
      <w:iCs/>
    </w:rPr>
  </w:style>
  <w:style w:type="paragraph" w:styleId="IntenseQuote">
    <w:name w:val="Intense Quote"/>
    <w:basedOn w:val="Normal"/>
    <w:next w:val="Normal"/>
    <w:link w:val="IntenseQuoteChar"/>
    <w:uiPriority w:val="99"/>
    <w:qFormat/>
    <w:rsid w:val="00501E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501E92"/>
    <w:rPr>
      <w:rFonts w:cs="Times New Roman"/>
      <w:b/>
      <w:bCs/>
      <w:i/>
      <w:iCs/>
    </w:rPr>
  </w:style>
  <w:style w:type="character" w:styleId="SubtleEmphasis">
    <w:name w:val="Subtle Emphasis"/>
    <w:basedOn w:val="DefaultParagraphFont"/>
    <w:uiPriority w:val="99"/>
    <w:qFormat/>
    <w:rsid w:val="00501E92"/>
    <w:rPr>
      <w:i/>
    </w:rPr>
  </w:style>
  <w:style w:type="character" w:styleId="IntenseEmphasis">
    <w:name w:val="Intense Emphasis"/>
    <w:basedOn w:val="DefaultParagraphFont"/>
    <w:uiPriority w:val="99"/>
    <w:qFormat/>
    <w:rsid w:val="00501E92"/>
    <w:rPr>
      <w:b/>
    </w:rPr>
  </w:style>
  <w:style w:type="character" w:styleId="SubtleReference">
    <w:name w:val="Subtle Reference"/>
    <w:basedOn w:val="DefaultParagraphFont"/>
    <w:uiPriority w:val="99"/>
    <w:qFormat/>
    <w:rsid w:val="00501E92"/>
    <w:rPr>
      <w:smallCaps/>
    </w:rPr>
  </w:style>
  <w:style w:type="character" w:styleId="IntenseReference">
    <w:name w:val="Intense Reference"/>
    <w:basedOn w:val="DefaultParagraphFont"/>
    <w:uiPriority w:val="99"/>
    <w:qFormat/>
    <w:rsid w:val="00501E92"/>
    <w:rPr>
      <w:smallCaps/>
      <w:spacing w:val="5"/>
      <w:u w:val="single"/>
    </w:rPr>
  </w:style>
  <w:style w:type="character" w:styleId="BookTitle">
    <w:name w:val="Book Title"/>
    <w:basedOn w:val="DefaultParagraphFont"/>
    <w:uiPriority w:val="99"/>
    <w:qFormat/>
    <w:rsid w:val="00501E92"/>
    <w:rPr>
      <w:i/>
      <w:smallCaps/>
      <w:spacing w:val="5"/>
    </w:rPr>
  </w:style>
  <w:style w:type="paragraph" w:styleId="TOCHeading">
    <w:name w:val="TOC Heading"/>
    <w:basedOn w:val="Heading1"/>
    <w:next w:val="Normal"/>
    <w:uiPriority w:val="99"/>
    <w:qFormat/>
    <w:rsid w:val="00501E92"/>
    <w:pPr>
      <w:outlineLvl w:val="9"/>
    </w:pPr>
  </w:style>
  <w:style w:type="table" w:styleId="TableGrid">
    <w:name w:val="Table Grid"/>
    <w:basedOn w:val="TableNormal"/>
    <w:uiPriority w:val="99"/>
    <w:rsid w:val="00701CD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rsid w:val="003B4D7F"/>
    <w:rPr>
      <w:rFonts w:ascii="Tahoma" w:hAnsi="Tahoma" w:cs="Tahoma"/>
      <w:sz w:val="16"/>
      <w:szCs w:val="16"/>
    </w:rPr>
  </w:style>
  <w:style w:type="character" w:customStyle="1" w:styleId="DocumentMapChar">
    <w:name w:val="Document Map Char"/>
    <w:basedOn w:val="DefaultParagraphFont"/>
    <w:link w:val="DocumentMap"/>
    <w:uiPriority w:val="99"/>
    <w:locked/>
    <w:rsid w:val="003B4D7F"/>
    <w:rPr>
      <w:rFonts w:ascii="Tahoma" w:hAnsi="Tahoma" w:cs="Tahoma"/>
      <w:sz w:val="16"/>
      <w:szCs w:val="16"/>
    </w:rPr>
  </w:style>
  <w:style w:type="paragraph" w:styleId="Header">
    <w:name w:val="header"/>
    <w:basedOn w:val="Normal"/>
    <w:link w:val="HeaderChar"/>
    <w:uiPriority w:val="99"/>
    <w:semiHidden/>
    <w:rsid w:val="005C15E9"/>
    <w:pPr>
      <w:tabs>
        <w:tab w:val="center" w:pos="4680"/>
        <w:tab w:val="right" w:pos="9360"/>
      </w:tabs>
    </w:pPr>
  </w:style>
  <w:style w:type="character" w:customStyle="1" w:styleId="HeaderChar">
    <w:name w:val="Header Char"/>
    <w:basedOn w:val="DefaultParagraphFont"/>
    <w:link w:val="Header"/>
    <w:uiPriority w:val="99"/>
    <w:semiHidden/>
    <w:locked/>
    <w:rsid w:val="005C15E9"/>
    <w:rPr>
      <w:rFonts w:cs="Times New Roman"/>
      <w:sz w:val="22"/>
      <w:szCs w:val="22"/>
    </w:rPr>
  </w:style>
  <w:style w:type="paragraph" w:styleId="Footer">
    <w:name w:val="footer"/>
    <w:basedOn w:val="Normal"/>
    <w:link w:val="FooterChar"/>
    <w:uiPriority w:val="99"/>
    <w:rsid w:val="005C15E9"/>
    <w:pPr>
      <w:tabs>
        <w:tab w:val="center" w:pos="4680"/>
        <w:tab w:val="right" w:pos="9360"/>
      </w:tabs>
    </w:pPr>
  </w:style>
  <w:style w:type="character" w:customStyle="1" w:styleId="FooterChar">
    <w:name w:val="Footer Char"/>
    <w:basedOn w:val="DefaultParagraphFont"/>
    <w:link w:val="Footer"/>
    <w:uiPriority w:val="99"/>
    <w:locked/>
    <w:rsid w:val="005C15E9"/>
    <w:rPr>
      <w:rFonts w:cs="Times New Roman"/>
      <w:sz w:val="22"/>
      <w:szCs w:val="22"/>
    </w:rPr>
  </w:style>
  <w:style w:type="character" w:styleId="Hyperlink">
    <w:name w:val="Hyperlink"/>
    <w:basedOn w:val="DefaultParagraphFont"/>
    <w:uiPriority w:val="99"/>
    <w:rsid w:val="005A36F1"/>
    <w:rPr>
      <w:rFonts w:cs="Times New Roman"/>
      <w:color w:val="0000FF"/>
      <w:u w:val="single"/>
    </w:rPr>
  </w:style>
  <w:style w:type="paragraph" w:customStyle="1" w:styleId="CharCharChar">
    <w:name w:val="Char Char Char"/>
    <w:basedOn w:val="Normal"/>
    <w:uiPriority w:val="99"/>
    <w:semiHidden/>
    <w:rsid w:val="00910FDB"/>
    <w:pPr>
      <w:spacing w:after="160" w:line="240" w:lineRule="exact"/>
    </w:pPr>
    <w:rPr>
      <w:rFonts w:ascii="Tahoma" w:hAnsi="Tahoma"/>
      <w:sz w:val="20"/>
      <w:szCs w:val="20"/>
    </w:rPr>
  </w:style>
  <w:style w:type="paragraph" w:customStyle="1" w:styleId="Default">
    <w:name w:val="Default"/>
    <w:rsid w:val="00023B3A"/>
    <w:pPr>
      <w:autoSpaceDE w:val="0"/>
      <w:autoSpaceDN w:val="0"/>
      <w:adjustRightInd w:val="0"/>
    </w:pPr>
    <w:rPr>
      <w:rFonts w:cs="Calibri"/>
      <w:color w:val="000000"/>
      <w:sz w:val="24"/>
      <w:szCs w:val="24"/>
      <w:lang w:val="en-IE"/>
    </w:rPr>
  </w:style>
  <w:style w:type="character" w:styleId="CommentReference">
    <w:name w:val="annotation reference"/>
    <w:basedOn w:val="DefaultParagraphFont"/>
    <w:uiPriority w:val="99"/>
    <w:semiHidden/>
    <w:unhideWhenUsed/>
    <w:rsid w:val="0016127F"/>
    <w:rPr>
      <w:sz w:val="16"/>
      <w:szCs w:val="16"/>
    </w:rPr>
  </w:style>
  <w:style w:type="paragraph" w:styleId="CommentText">
    <w:name w:val="annotation text"/>
    <w:basedOn w:val="Normal"/>
    <w:link w:val="CommentTextChar"/>
    <w:uiPriority w:val="99"/>
    <w:semiHidden/>
    <w:unhideWhenUsed/>
    <w:rsid w:val="0016127F"/>
    <w:pPr>
      <w:spacing w:line="240" w:lineRule="auto"/>
    </w:pPr>
    <w:rPr>
      <w:sz w:val="20"/>
      <w:szCs w:val="20"/>
    </w:rPr>
  </w:style>
  <w:style w:type="character" w:customStyle="1" w:styleId="CommentTextChar">
    <w:name w:val="Comment Text Char"/>
    <w:basedOn w:val="DefaultParagraphFont"/>
    <w:link w:val="CommentText"/>
    <w:uiPriority w:val="99"/>
    <w:semiHidden/>
    <w:rsid w:val="0016127F"/>
    <w:rPr>
      <w:sz w:val="20"/>
      <w:szCs w:val="20"/>
      <w:lang w:val="en-GB"/>
    </w:rPr>
  </w:style>
  <w:style w:type="paragraph" w:styleId="CommentSubject">
    <w:name w:val="annotation subject"/>
    <w:basedOn w:val="CommentText"/>
    <w:next w:val="CommentText"/>
    <w:link w:val="CommentSubjectChar"/>
    <w:uiPriority w:val="99"/>
    <w:semiHidden/>
    <w:unhideWhenUsed/>
    <w:rsid w:val="0016127F"/>
    <w:rPr>
      <w:b/>
      <w:bCs/>
    </w:rPr>
  </w:style>
  <w:style w:type="character" w:customStyle="1" w:styleId="CommentSubjectChar">
    <w:name w:val="Comment Subject Char"/>
    <w:basedOn w:val="CommentTextChar"/>
    <w:link w:val="CommentSubject"/>
    <w:uiPriority w:val="99"/>
    <w:semiHidden/>
    <w:rsid w:val="0016127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594715">
      <w:bodyDiv w:val="1"/>
      <w:marLeft w:val="0"/>
      <w:marRight w:val="0"/>
      <w:marTop w:val="0"/>
      <w:marBottom w:val="0"/>
      <w:divBdr>
        <w:top w:val="none" w:sz="0" w:space="0" w:color="auto"/>
        <w:left w:val="none" w:sz="0" w:space="0" w:color="auto"/>
        <w:bottom w:val="none" w:sz="0" w:space="0" w:color="auto"/>
        <w:right w:val="none" w:sz="0" w:space="0" w:color="auto"/>
      </w:divBdr>
      <w:divsChild>
        <w:div w:id="722950645">
          <w:marLeft w:val="1800"/>
          <w:marRight w:val="0"/>
          <w:marTop w:val="120"/>
          <w:marBottom w:val="0"/>
          <w:divBdr>
            <w:top w:val="none" w:sz="0" w:space="0" w:color="auto"/>
            <w:left w:val="none" w:sz="0" w:space="0" w:color="auto"/>
            <w:bottom w:val="none" w:sz="0" w:space="0" w:color="auto"/>
            <w:right w:val="none" w:sz="0" w:space="0" w:color="auto"/>
          </w:divBdr>
        </w:div>
      </w:divsChild>
    </w:div>
    <w:div w:id="2069300556">
      <w:marLeft w:val="0"/>
      <w:marRight w:val="0"/>
      <w:marTop w:val="0"/>
      <w:marBottom w:val="0"/>
      <w:divBdr>
        <w:top w:val="none" w:sz="0" w:space="0" w:color="auto"/>
        <w:left w:val="none" w:sz="0" w:space="0" w:color="auto"/>
        <w:bottom w:val="none" w:sz="0" w:space="0" w:color="auto"/>
        <w:right w:val="none" w:sz="0" w:space="0" w:color="auto"/>
      </w:divBdr>
      <w:divsChild>
        <w:div w:id="2069300555">
          <w:marLeft w:val="979"/>
          <w:marRight w:val="0"/>
          <w:marTop w:val="0"/>
          <w:marBottom w:val="0"/>
          <w:divBdr>
            <w:top w:val="none" w:sz="0" w:space="0" w:color="auto"/>
            <w:left w:val="none" w:sz="0" w:space="0" w:color="auto"/>
            <w:bottom w:val="none" w:sz="0" w:space="0" w:color="auto"/>
            <w:right w:val="none" w:sz="0" w:space="0" w:color="auto"/>
          </w:divBdr>
        </w:div>
        <w:div w:id="2069300559">
          <w:marLeft w:val="979"/>
          <w:marRight w:val="0"/>
          <w:marTop w:val="0"/>
          <w:marBottom w:val="0"/>
          <w:divBdr>
            <w:top w:val="none" w:sz="0" w:space="0" w:color="auto"/>
            <w:left w:val="none" w:sz="0" w:space="0" w:color="auto"/>
            <w:bottom w:val="none" w:sz="0" w:space="0" w:color="auto"/>
            <w:right w:val="none" w:sz="0" w:space="0" w:color="auto"/>
          </w:divBdr>
        </w:div>
        <w:div w:id="2069300571">
          <w:marLeft w:val="979"/>
          <w:marRight w:val="0"/>
          <w:marTop w:val="0"/>
          <w:marBottom w:val="0"/>
          <w:divBdr>
            <w:top w:val="none" w:sz="0" w:space="0" w:color="auto"/>
            <w:left w:val="none" w:sz="0" w:space="0" w:color="auto"/>
            <w:bottom w:val="none" w:sz="0" w:space="0" w:color="auto"/>
            <w:right w:val="none" w:sz="0" w:space="0" w:color="auto"/>
          </w:divBdr>
        </w:div>
        <w:div w:id="2069300575">
          <w:marLeft w:val="979"/>
          <w:marRight w:val="0"/>
          <w:marTop w:val="0"/>
          <w:marBottom w:val="0"/>
          <w:divBdr>
            <w:top w:val="none" w:sz="0" w:space="0" w:color="auto"/>
            <w:left w:val="none" w:sz="0" w:space="0" w:color="auto"/>
            <w:bottom w:val="none" w:sz="0" w:space="0" w:color="auto"/>
            <w:right w:val="none" w:sz="0" w:space="0" w:color="auto"/>
          </w:divBdr>
        </w:div>
        <w:div w:id="2069300586">
          <w:marLeft w:val="979"/>
          <w:marRight w:val="0"/>
          <w:marTop w:val="0"/>
          <w:marBottom w:val="0"/>
          <w:divBdr>
            <w:top w:val="none" w:sz="0" w:space="0" w:color="auto"/>
            <w:left w:val="none" w:sz="0" w:space="0" w:color="auto"/>
            <w:bottom w:val="none" w:sz="0" w:space="0" w:color="auto"/>
            <w:right w:val="none" w:sz="0" w:space="0" w:color="auto"/>
          </w:divBdr>
        </w:div>
        <w:div w:id="2069300592">
          <w:marLeft w:val="979"/>
          <w:marRight w:val="0"/>
          <w:marTop w:val="0"/>
          <w:marBottom w:val="0"/>
          <w:divBdr>
            <w:top w:val="none" w:sz="0" w:space="0" w:color="auto"/>
            <w:left w:val="none" w:sz="0" w:space="0" w:color="auto"/>
            <w:bottom w:val="none" w:sz="0" w:space="0" w:color="auto"/>
            <w:right w:val="none" w:sz="0" w:space="0" w:color="auto"/>
          </w:divBdr>
        </w:div>
      </w:divsChild>
    </w:div>
    <w:div w:id="2069300560">
      <w:marLeft w:val="0"/>
      <w:marRight w:val="0"/>
      <w:marTop w:val="0"/>
      <w:marBottom w:val="0"/>
      <w:divBdr>
        <w:top w:val="none" w:sz="0" w:space="0" w:color="auto"/>
        <w:left w:val="none" w:sz="0" w:space="0" w:color="auto"/>
        <w:bottom w:val="none" w:sz="0" w:space="0" w:color="auto"/>
        <w:right w:val="none" w:sz="0" w:space="0" w:color="auto"/>
      </w:divBdr>
      <w:divsChild>
        <w:div w:id="2069300563">
          <w:marLeft w:val="1440"/>
          <w:marRight w:val="0"/>
          <w:marTop w:val="0"/>
          <w:marBottom w:val="0"/>
          <w:divBdr>
            <w:top w:val="none" w:sz="0" w:space="0" w:color="auto"/>
            <w:left w:val="none" w:sz="0" w:space="0" w:color="auto"/>
            <w:bottom w:val="none" w:sz="0" w:space="0" w:color="auto"/>
            <w:right w:val="none" w:sz="0" w:space="0" w:color="auto"/>
          </w:divBdr>
        </w:div>
        <w:div w:id="2069300566">
          <w:marLeft w:val="720"/>
          <w:marRight w:val="0"/>
          <w:marTop w:val="240"/>
          <w:marBottom w:val="0"/>
          <w:divBdr>
            <w:top w:val="none" w:sz="0" w:space="0" w:color="auto"/>
            <w:left w:val="none" w:sz="0" w:space="0" w:color="auto"/>
            <w:bottom w:val="none" w:sz="0" w:space="0" w:color="auto"/>
            <w:right w:val="none" w:sz="0" w:space="0" w:color="auto"/>
          </w:divBdr>
        </w:div>
        <w:div w:id="2069300574">
          <w:marLeft w:val="1440"/>
          <w:marRight w:val="0"/>
          <w:marTop w:val="0"/>
          <w:marBottom w:val="0"/>
          <w:divBdr>
            <w:top w:val="none" w:sz="0" w:space="0" w:color="auto"/>
            <w:left w:val="none" w:sz="0" w:space="0" w:color="auto"/>
            <w:bottom w:val="none" w:sz="0" w:space="0" w:color="auto"/>
            <w:right w:val="none" w:sz="0" w:space="0" w:color="auto"/>
          </w:divBdr>
        </w:div>
        <w:div w:id="2069300579">
          <w:marLeft w:val="720"/>
          <w:marRight w:val="0"/>
          <w:marTop w:val="240"/>
          <w:marBottom w:val="0"/>
          <w:divBdr>
            <w:top w:val="none" w:sz="0" w:space="0" w:color="auto"/>
            <w:left w:val="none" w:sz="0" w:space="0" w:color="auto"/>
            <w:bottom w:val="none" w:sz="0" w:space="0" w:color="auto"/>
            <w:right w:val="none" w:sz="0" w:space="0" w:color="auto"/>
          </w:divBdr>
        </w:div>
        <w:div w:id="2069300583">
          <w:marLeft w:val="720"/>
          <w:marRight w:val="0"/>
          <w:marTop w:val="240"/>
          <w:marBottom w:val="0"/>
          <w:divBdr>
            <w:top w:val="none" w:sz="0" w:space="0" w:color="auto"/>
            <w:left w:val="none" w:sz="0" w:space="0" w:color="auto"/>
            <w:bottom w:val="none" w:sz="0" w:space="0" w:color="auto"/>
            <w:right w:val="none" w:sz="0" w:space="0" w:color="auto"/>
          </w:divBdr>
        </w:div>
        <w:div w:id="2069300584">
          <w:marLeft w:val="1440"/>
          <w:marRight w:val="0"/>
          <w:marTop w:val="0"/>
          <w:marBottom w:val="0"/>
          <w:divBdr>
            <w:top w:val="none" w:sz="0" w:space="0" w:color="auto"/>
            <w:left w:val="none" w:sz="0" w:space="0" w:color="auto"/>
            <w:bottom w:val="none" w:sz="0" w:space="0" w:color="auto"/>
            <w:right w:val="none" w:sz="0" w:space="0" w:color="auto"/>
          </w:divBdr>
        </w:div>
        <w:div w:id="2069300587">
          <w:marLeft w:val="720"/>
          <w:marRight w:val="0"/>
          <w:marTop w:val="240"/>
          <w:marBottom w:val="0"/>
          <w:divBdr>
            <w:top w:val="none" w:sz="0" w:space="0" w:color="auto"/>
            <w:left w:val="none" w:sz="0" w:space="0" w:color="auto"/>
            <w:bottom w:val="none" w:sz="0" w:space="0" w:color="auto"/>
            <w:right w:val="none" w:sz="0" w:space="0" w:color="auto"/>
          </w:divBdr>
        </w:div>
        <w:div w:id="2069300596">
          <w:marLeft w:val="720"/>
          <w:marRight w:val="0"/>
          <w:marTop w:val="240"/>
          <w:marBottom w:val="0"/>
          <w:divBdr>
            <w:top w:val="none" w:sz="0" w:space="0" w:color="auto"/>
            <w:left w:val="none" w:sz="0" w:space="0" w:color="auto"/>
            <w:bottom w:val="none" w:sz="0" w:space="0" w:color="auto"/>
            <w:right w:val="none" w:sz="0" w:space="0" w:color="auto"/>
          </w:divBdr>
        </w:div>
      </w:divsChild>
    </w:div>
    <w:div w:id="2069300561">
      <w:marLeft w:val="0"/>
      <w:marRight w:val="0"/>
      <w:marTop w:val="0"/>
      <w:marBottom w:val="0"/>
      <w:divBdr>
        <w:top w:val="none" w:sz="0" w:space="0" w:color="auto"/>
        <w:left w:val="none" w:sz="0" w:space="0" w:color="auto"/>
        <w:bottom w:val="none" w:sz="0" w:space="0" w:color="auto"/>
        <w:right w:val="none" w:sz="0" w:space="0" w:color="auto"/>
      </w:divBdr>
      <w:divsChild>
        <w:div w:id="2069300567">
          <w:marLeft w:val="0"/>
          <w:marRight w:val="0"/>
          <w:marTop w:val="0"/>
          <w:marBottom w:val="0"/>
          <w:divBdr>
            <w:top w:val="none" w:sz="0" w:space="0" w:color="auto"/>
            <w:left w:val="none" w:sz="0" w:space="0" w:color="auto"/>
            <w:bottom w:val="none" w:sz="0" w:space="0" w:color="auto"/>
            <w:right w:val="none" w:sz="0" w:space="0" w:color="auto"/>
          </w:divBdr>
        </w:div>
      </w:divsChild>
    </w:div>
    <w:div w:id="2069300562">
      <w:marLeft w:val="0"/>
      <w:marRight w:val="0"/>
      <w:marTop w:val="0"/>
      <w:marBottom w:val="0"/>
      <w:divBdr>
        <w:top w:val="none" w:sz="0" w:space="0" w:color="auto"/>
        <w:left w:val="none" w:sz="0" w:space="0" w:color="auto"/>
        <w:bottom w:val="none" w:sz="0" w:space="0" w:color="auto"/>
        <w:right w:val="none" w:sz="0" w:space="0" w:color="auto"/>
      </w:divBdr>
      <w:divsChild>
        <w:div w:id="2069300564">
          <w:marLeft w:val="547"/>
          <w:marRight w:val="0"/>
          <w:marTop w:val="86"/>
          <w:marBottom w:val="0"/>
          <w:divBdr>
            <w:top w:val="none" w:sz="0" w:space="0" w:color="auto"/>
            <w:left w:val="none" w:sz="0" w:space="0" w:color="auto"/>
            <w:bottom w:val="none" w:sz="0" w:space="0" w:color="auto"/>
            <w:right w:val="none" w:sz="0" w:space="0" w:color="auto"/>
          </w:divBdr>
        </w:div>
        <w:div w:id="2069300591">
          <w:marLeft w:val="547"/>
          <w:marRight w:val="0"/>
          <w:marTop w:val="86"/>
          <w:marBottom w:val="0"/>
          <w:divBdr>
            <w:top w:val="none" w:sz="0" w:space="0" w:color="auto"/>
            <w:left w:val="none" w:sz="0" w:space="0" w:color="auto"/>
            <w:bottom w:val="none" w:sz="0" w:space="0" w:color="auto"/>
            <w:right w:val="none" w:sz="0" w:space="0" w:color="auto"/>
          </w:divBdr>
        </w:div>
        <w:div w:id="2069300593">
          <w:marLeft w:val="547"/>
          <w:marRight w:val="0"/>
          <w:marTop w:val="86"/>
          <w:marBottom w:val="0"/>
          <w:divBdr>
            <w:top w:val="none" w:sz="0" w:space="0" w:color="auto"/>
            <w:left w:val="none" w:sz="0" w:space="0" w:color="auto"/>
            <w:bottom w:val="none" w:sz="0" w:space="0" w:color="auto"/>
            <w:right w:val="none" w:sz="0" w:space="0" w:color="auto"/>
          </w:divBdr>
        </w:div>
        <w:div w:id="2069300598">
          <w:marLeft w:val="547"/>
          <w:marRight w:val="0"/>
          <w:marTop w:val="86"/>
          <w:marBottom w:val="0"/>
          <w:divBdr>
            <w:top w:val="none" w:sz="0" w:space="0" w:color="auto"/>
            <w:left w:val="none" w:sz="0" w:space="0" w:color="auto"/>
            <w:bottom w:val="none" w:sz="0" w:space="0" w:color="auto"/>
            <w:right w:val="none" w:sz="0" w:space="0" w:color="auto"/>
          </w:divBdr>
        </w:div>
        <w:div w:id="2069300599">
          <w:marLeft w:val="547"/>
          <w:marRight w:val="0"/>
          <w:marTop w:val="86"/>
          <w:marBottom w:val="0"/>
          <w:divBdr>
            <w:top w:val="none" w:sz="0" w:space="0" w:color="auto"/>
            <w:left w:val="none" w:sz="0" w:space="0" w:color="auto"/>
            <w:bottom w:val="none" w:sz="0" w:space="0" w:color="auto"/>
            <w:right w:val="none" w:sz="0" w:space="0" w:color="auto"/>
          </w:divBdr>
        </w:div>
        <w:div w:id="2069300600">
          <w:marLeft w:val="547"/>
          <w:marRight w:val="0"/>
          <w:marTop w:val="86"/>
          <w:marBottom w:val="0"/>
          <w:divBdr>
            <w:top w:val="none" w:sz="0" w:space="0" w:color="auto"/>
            <w:left w:val="none" w:sz="0" w:space="0" w:color="auto"/>
            <w:bottom w:val="none" w:sz="0" w:space="0" w:color="auto"/>
            <w:right w:val="none" w:sz="0" w:space="0" w:color="auto"/>
          </w:divBdr>
        </w:div>
      </w:divsChild>
    </w:div>
    <w:div w:id="2069300565">
      <w:marLeft w:val="0"/>
      <w:marRight w:val="0"/>
      <w:marTop w:val="0"/>
      <w:marBottom w:val="0"/>
      <w:divBdr>
        <w:top w:val="none" w:sz="0" w:space="0" w:color="auto"/>
        <w:left w:val="none" w:sz="0" w:space="0" w:color="auto"/>
        <w:bottom w:val="none" w:sz="0" w:space="0" w:color="auto"/>
        <w:right w:val="none" w:sz="0" w:space="0" w:color="auto"/>
      </w:divBdr>
      <w:divsChild>
        <w:div w:id="2069300557">
          <w:marLeft w:val="0"/>
          <w:marRight w:val="0"/>
          <w:marTop w:val="0"/>
          <w:marBottom w:val="0"/>
          <w:divBdr>
            <w:top w:val="none" w:sz="0" w:space="0" w:color="auto"/>
            <w:left w:val="none" w:sz="0" w:space="0" w:color="auto"/>
            <w:bottom w:val="none" w:sz="0" w:space="0" w:color="auto"/>
            <w:right w:val="none" w:sz="0" w:space="0" w:color="auto"/>
          </w:divBdr>
          <w:divsChild>
            <w:div w:id="2069300570">
              <w:marLeft w:val="0"/>
              <w:marRight w:val="0"/>
              <w:marTop w:val="0"/>
              <w:marBottom w:val="0"/>
              <w:divBdr>
                <w:top w:val="none" w:sz="0" w:space="0" w:color="auto"/>
                <w:left w:val="none" w:sz="0" w:space="0" w:color="auto"/>
                <w:bottom w:val="none" w:sz="0" w:space="0" w:color="auto"/>
                <w:right w:val="none" w:sz="0" w:space="0" w:color="auto"/>
              </w:divBdr>
            </w:div>
            <w:div w:id="2069300572">
              <w:marLeft w:val="0"/>
              <w:marRight w:val="0"/>
              <w:marTop w:val="0"/>
              <w:marBottom w:val="0"/>
              <w:divBdr>
                <w:top w:val="none" w:sz="0" w:space="0" w:color="auto"/>
                <w:left w:val="none" w:sz="0" w:space="0" w:color="auto"/>
                <w:bottom w:val="none" w:sz="0" w:space="0" w:color="auto"/>
                <w:right w:val="none" w:sz="0" w:space="0" w:color="auto"/>
              </w:divBdr>
            </w:div>
            <w:div w:id="2069300576">
              <w:marLeft w:val="0"/>
              <w:marRight w:val="0"/>
              <w:marTop w:val="0"/>
              <w:marBottom w:val="0"/>
              <w:divBdr>
                <w:top w:val="none" w:sz="0" w:space="0" w:color="auto"/>
                <w:left w:val="none" w:sz="0" w:space="0" w:color="auto"/>
                <w:bottom w:val="none" w:sz="0" w:space="0" w:color="auto"/>
                <w:right w:val="none" w:sz="0" w:space="0" w:color="auto"/>
              </w:divBdr>
            </w:div>
            <w:div w:id="2069300577">
              <w:marLeft w:val="0"/>
              <w:marRight w:val="0"/>
              <w:marTop w:val="0"/>
              <w:marBottom w:val="0"/>
              <w:divBdr>
                <w:top w:val="none" w:sz="0" w:space="0" w:color="auto"/>
                <w:left w:val="none" w:sz="0" w:space="0" w:color="auto"/>
                <w:bottom w:val="none" w:sz="0" w:space="0" w:color="auto"/>
                <w:right w:val="none" w:sz="0" w:space="0" w:color="auto"/>
              </w:divBdr>
            </w:div>
            <w:div w:id="2069300580">
              <w:marLeft w:val="0"/>
              <w:marRight w:val="0"/>
              <w:marTop w:val="0"/>
              <w:marBottom w:val="0"/>
              <w:divBdr>
                <w:top w:val="none" w:sz="0" w:space="0" w:color="auto"/>
                <w:left w:val="none" w:sz="0" w:space="0" w:color="auto"/>
                <w:bottom w:val="none" w:sz="0" w:space="0" w:color="auto"/>
                <w:right w:val="none" w:sz="0" w:space="0" w:color="auto"/>
              </w:divBdr>
            </w:div>
            <w:div w:id="20693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0573">
      <w:marLeft w:val="0"/>
      <w:marRight w:val="0"/>
      <w:marTop w:val="0"/>
      <w:marBottom w:val="0"/>
      <w:divBdr>
        <w:top w:val="none" w:sz="0" w:space="0" w:color="auto"/>
        <w:left w:val="none" w:sz="0" w:space="0" w:color="auto"/>
        <w:bottom w:val="none" w:sz="0" w:space="0" w:color="auto"/>
        <w:right w:val="none" w:sz="0" w:space="0" w:color="auto"/>
      </w:divBdr>
    </w:div>
    <w:div w:id="2069300578">
      <w:marLeft w:val="0"/>
      <w:marRight w:val="0"/>
      <w:marTop w:val="0"/>
      <w:marBottom w:val="0"/>
      <w:divBdr>
        <w:top w:val="none" w:sz="0" w:space="0" w:color="auto"/>
        <w:left w:val="none" w:sz="0" w:space="0" w:color="auto"/>
        <w:bottom w:val="none" w:sz="0" w:space="0" w:color="auto"/>
        <w:right w:val="none" w:sz="0" w:space="0" w:color="auto"/>
      </w:divBdr>
      <w:divsChild>
        <w:div w:id="2069300588">
          <w:marLeft w:val="0"/>
          <w:marRight w:val="0"/>
          <w:marTop w:val="0"/>
          <w:marBottom w:val="0"/>
          <w:divBdr>
            <w:top w:val="none" w:sz="0" w:space="0" w:color="auto"/>
            <w:left w:val="none" w:sz="0" w:space="0" w:color="auto"/>
            <w:bottom w:val="none" w:sz="0" w:space="0" w:color="auto"/>
            <w:right w:val="none" w:sz="0" w:space="0" w:color="auto"/>
          </w:divBdr>
          <w:divsChild>
            <w:div w:id="20693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0589">
      <w:marLeft w:val="0"/>
      <w:marRight w:val="0"/>
      <w:marTop w:val="0"/>
      <w:marBottom w:val="0"/>
      <w:divBdr>
        <w:top w:val="none" w:sz="0" w:space="0" w:color="auto"/>
        <w:left w:val="none" w:sz="0" w:space="0" w:color="auto"/>
        <w:bottom w:val="none" w:sz="0" w:space="0" w:color="auto"/>
        <w:right w:val="none" w:sz="0" w:space="0" w:color="auto"/>
      </w:divBdr>
    </w:div>
    <w:div w:id="2069300595">
      <w:marLeft w:val="0"/>
      <w:marRight w:val="0"/>
      <w:marTop w:val="0"/>
      <w:marBottom w:val="0"/>
      <w:divBdr>
        <w:top w:val="none" w:sz="0" w:space="0" w:color="auto"/>
        <w:left w:val="none" w:sz="0" w:space="0" w:color="auto"/>
        <w:bottom w:val="none" w:sz="0" w:space="0" w:color="auto"/>
        <w:right w:val="none" w:sz="0" w:space="0" w:color="auto"/>
      </w:divBdr>
      <w:divsChild>
        <w:div w:id="2069300558">
          <w:marLeft w:val="446"/>
          <w:marRight w:val="0"/>
          <w:marTop w:val="0"/>
          <w:marBottom w:val="0"/>
          <w:divBdr>
            <w:top w:val="none" w:sz="0" w:space="0" w:color="auto"/>
            <w:left w:val="none" w:sz="0" w:space="0" w:color="auto"/>
            <w:bottom w:val="none" w:sz="0" w:space="0" w:color="auto"/>
            <w:right w:val="none" w:sz="0" w:space="0" w:color="auto"/>
          </w:divBdr>
        </w:div>
        <w:div w:id="2069300568">
          <w:marLeft w:val="1166"/>
          <w:marRight w:val="0"/>
          <w:marTop w:val="0"/>
          <w:marBottom w:val="0"/>
          <w:divBdr>
            <w:top w:val="none" w:sz="0" w:space="0" w:color="auto"/>
            <w:left w:val="none" w:sz="0" w:space="0" w:color="auto"/>
            <w:bottom w:val="none" w:sz="0" w:space="0" w:color="auto"/>
            <w:right w:val="none" w:sz="0" w:space="0" w:color="auto"/>
          </w:divBdr>
        </w:div>
        <w:div w:id="2069300569">
          <w:marLeft w:val="446"/>
          <w:marRight w:val="0"/>
          <w:marTop w:val="0"/>
          <w:marBottom w:val="0"/>
          <w:divBdr>
            <w:top w:val="none" w:sz="0" w:space="0" w:color="auto"/>
            <w:left w:val="none" w:sz="0" w:space="0" w:color="auto"/>
            <w:bottom w:val="none" w:sz="0" w:space="0" w:color="auto"/>
            <w:right w:val="none" w:sz="0" w:space="0" w:color="auto"/>
          </w:divBdr>
        </w:div>
        <w:div w:id="2069300581">
          <w:marLeft w:val="446"/>
          <w:marRight w:val="0"/>
          <w:marTop w:val="0"/>
          <w:marBottom w:val="0"/>
          <w:divBdr>
            <w:top w:val="none" w:sz="0" w:space="0" w:color="auto"/>
            <w:left w:val="none" w:sz="0" w:space="0" w:color="auto"/>
            <w:bottom w:val="none" w:sz="0" w:space="0" w:color="auto"/>
            <w:right w:val="none" w:sz="0" w:space="0" w:color="auto"/>
          </w:divBdr>
        </w:div>
        <w:div w:id="2069300582">
          <w:marLeft w:val="1166"/>
          <w:marRight w:val="0"/>
          <w:marTop w:val="0"/>
          <w:marBottom w:val="0"/>
          <w:divBdr>
            <w:top w:val="none" w:sz="0" w:space="0" w:color="auto"/>
            <w:left w:val="none" w:sz="0" w:space="0" w:color="auto"/>
            <w:bottom w:val="none" w:sz="0" w:space="0" w:color="auto"/>
            <w:right w:val="none" w:sz="0" w:space="0" w:color="auto"/>
          </w:divBdr>
        </w:div>
        <w:div w:id="2069300590">
          <w:marLeft w:val="446"/>
          <w:marRight w:val="0"/>
          <w:marTop w:val="0"/>
          <w:marBottom w:val="0"/>
          <w:divBdr>
            <w:top w:val="none" w:sz="0" w:space="0" w:color="auto"/>
            <w:left w:val="none" w:sz="0" w:space="0" w:color="auto"/>
            <w:bottom w:val="none" w:sz="0" w:space="0" w:color="auto"/>
            <w:right w:val="none" w:sz="0" w:space="0" w:color="auto"/>
          </w:divBdr>
        </w:div>
        <w:div w:id="206930059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150%20LIBRARY\Templates\Notes%20-%20Reports%20&amp;%20Position%20Papers\Document%20meet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B3689B1394E894BA319CEB190FABB8C" ma:contentTypeVersion="0" ma:contentTypeDescription="Create a new document." ma:contentTypeScope="" ma:versionID="edeffe91f0398c4fb5493180abae838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7F6A9-A4EB-498B-973D-458CD9640ABF}"/>
</file>

<file path=customXml/itemProps2.xml><?xml version="1.0" encoding="utf-8"?>
<ds:datastoreItem xmlns:ds="http://schemas.openxmlformats.org/officeDocument/2006/customXml" ds:itemID="{EE158768-6B93-4EDB-8D55-FE90C2BF4DFA}"/>
</file>

<file path=customXml/itemProps3.xml><?xml version="1.0" encoding="utf-8"?>
<ds:datastoreItem xmlns:ds="http://schemas.openxmlformats.org/officeDocument/2006/customXml" ds:itemID="{F0CB3086-FC47-4F2F-B61A-15B463A99525}"/>
</file>

<file path=customXml/itemProps4.xml><?xml version="1.0" encoding="utf-8"?>
<ds:datastoreItem xmlns:ds="http://schemas.openxmlformats.org/officeDocument/2006/customXml" ds:itemID="{C7F82179-144E-47E6-982F-9A2C014EE132}"/>
</file>

<file path=docProps/app.xml><?xml version="1.0" encoding="utf-8"?>
<Properties xmlns="http://schemas.openxmlformats.org/officeDocument/2006/extended-properties" xmlns:vt="http://schemas.openxmlformats.org/officeDocument/2006/docPropsVTypes">
  <Template>Document meeting Template</Template>
  <TotalTime>3</TotalTime>
  <Pages>6</Pages>
  <Words>2132</Words>
  <Characters>12158</Characters>
  <Application>Microsoft Office Word</Application>
  <DocSecurity>0</DocSecurity>
  <Lines>101</Lines>
  <Paragraphs>28</Paragraphs>
  <ScaleCrop>false</ScaleCrop>
  <HeadingPairs>
    <vt:vector size="6" baseType="variant">
      <vt:variant>
        <vt:lpstr>Title</vt:lpstr>
      </vt:variant>
      <vt:variant>
        <vt:i4>1</vt:i4>
      </vt:variant>
      <vt:variant>
        <vt:lpstr>Titel</vt:lpstr>
      </vt:variant>
      <vt:variant>
        <vt:i4>1</vt:i4>
      </vt:variant>
      <vt:variant>
        <vt:lpstr>Otsikko</vt:lpstr>
      </vt:variant>
      <vt:variant>
        <vt:i4>1</vt:i4>
      </vt:variant>
    </vt:vector>
  </HeadingPairs>
  <TitlesOfParts>
    <vt:vector size="3" baseType="lpstr">
      <vt:lpstr>2nd meeting of ENTSO-E STEERING BOARD</vt:lpstr>
      <vt:lpstr>2nd meeting of ENTSO-E STEERING BOARD</vt:lpstr>
      <vt:lpstr>2nd meeting of ENTSO-E STEERING BOARD</vt:lpstr>
    </vt:vector>
  </TitlesOfParts>
  <Company>HP</Company>
  <LinksUpToDate>false</LinksUpToDate>
  <CharactersWithSpaces>14262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meeting of ENTSO-E STEERING BOARD</dc:title>
  <dc:creator>mcopley</dc:creator>
  <cp:lastModifiedBy>Marco Foresti</cp:lastModifiedBy>
  <cp:revision>5</cp:revision>
  <cp:lastPrinted>2011-12-15T13:40:00Z</cp:lastPrinted>
  <dcterms:created xsi:type="dcterms:W3CDTF">2012-02-07T16:31:00Z</dcterms:created>
  <dcterms:modified xsi:type="dcterms:W3CDTF">2012-02-08T12:03:00Z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0x010100EB3689B1394E894BA319CEB190FABB8C</vt:lpwstr>
  </property>
  <property fmtid="{D5CDD505-2E9C-101B-9397-08002B2CF9AE}" pid="4" name="Order">
    <vt:r8>286100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