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D7D6" w14:textId="15BCEC23" w:rsidR="00650AC8" w:rsidRPr="006E1E69" w:rsidRDefault="0F563A2D" w:rsidP="00650AC8">
      <w:pPr>
        <w:jc w:val="center"/>
        <w:rPr>
          <w:rFonts w:cs="Arial"/>
          <w:sz w:val="96"/>
          <w:szCs w:val="96"/>
        </w:rPr>
      </w:pPr>
      <w:r w:rsidRPr="0F563A2D">
        <w:rPr>
          <w:rFonts w:cs="Arial"/>
          <w:sz w:val="96"/>
          <w:szCs w:val="96"/>
        </w:rPr>
        <w:t>Bidding Zone Review</w:t>
      </w:r>
    </w:p>
    <w:p w14:paraId="4AF92DBA" w14:textId="77777777" w:rsidR="00650AC8" w:rsidRPr="006E1E69" w:rsidRDefault="00650AC8">
      <w:pPr>
        <w:rPr>
          <w:rFonts w:cs="Arial"/>
          <w:sz w:val="44"/>
          <w:szCs w:val="44"/>
        </w:rPr>
      </w:pPr>
    </w:p>
    <w:p w14:paraId="6B5AB664" w14:textId="77777777" w:rsidR="00650AC8" w:rsidRPr="006E1E69" w:rsidRDefault="00650AC8">
      <w:pPr>
        <w:rPr>
          <w:rFonts w:cs="Arial"/>
          <w:sz w:val="44"/>
          <w:szCs w:val="44"/>
        </w:rPr>
      </w:pPr>
    </w:p>
    <w:p w14:paraId="272E11E2" w14:textId="77777777" w:rsidR="00650AC8" w:rsidRPr="006E1E69" w:rsidRDefault="00650AC8">
      <w:pPr>
        <w:rPr>
          <w:rFonts w:cs="Arial"/>
          <w:sz w:val="44"/>
          <w:szCs w:val="44"/>
        </w:rPr>
      </w:pPr>
    </w:p>
    <w:p w14:paraId="01F53E3E" w14:textId="3F0B502F" w:rsidR="00650AC8" w:rsidRPr="006E1E69" w:rsidRDefault="0F563A2D" w:rsidP="00650AC8">
      <w:pPr>
        <w:jc w:val="center"/>
        <w:rPr>
          <w:rFonts w:cs="Arial"/>
          <w:sz w:val="52"/>
          <w:szCs w:val="52"/>
        </w:rPr>
      </w:pPr>
      <w:r w:rsidRPr="0F563A2D">
        <w:rPr>
          <w:rFonts w:cs="Arial"/>
          <w:sz w:val="52"/>
          <w:szCs w:val="52"/>
        </w:rPr>
        <w:t>Bidding Zone Review Region (BZRR)</w:t>
      </w:r>
    </w:p>
    <w:p w14:paraId="4B047FEC" w14:textId="1DBD87AE" w:rsidR="00CC2379" w:rsidRPr="006E1E69" w:rsidRDefault="0F563A2D" w:rsidP="00650AC8">
      <w:pPr>
        <w:jc w:val="center"/>
        <w:rPr>
          <w:rFonts w:cs="Arial"/>
          <w:sz w:val="72"/>
          <w:szCs w:val="72"/>
        </w:rPr>
      </w:pPr>
      <w:r w:rsidRPr="0F563A2D">
        <w:rPr>
          <w:rFonts w:cs="Arial"/>
          <w:sz w:val="72"/>
          <w:szCs w:val="72"/>
        </w:rPr>
        <w:t>Nordics</w:t>
      </w:r>
    </w:p>
    <w:p w14:paraId="3EC2DCBC" w14:textId="4571AEAB" w:rsidR="009B2FE3" w:rsidRPr="006E1E69" w:rsidRDefault="009B2FE3">
      <w:pPr>
        <w:rPr>
          <w:rFonts w:cs="Arial"/>
        </w:rPr>
      </w:pPr>
    </w:p>
    <w:p w14:paraId="580891B9" w14:textId="76D78AC4" w:rsidR="009B2FE3" w:rsidRPr="006E1E69" w:rsidRDefault="0F563A2D" w:rsidP="00E225EC">
      <w:pPr>
        <w:jc w:val="center"/>
        <w:rPr>
          <w:rFonts w:cs="Arial"/>
          <w:b/>
          <w:bCs/>
          <w:sz w:val="40"/>
          <w:szCs w:val="40"/>
        </w:rPr>
      </w:pPr>
      <w:r w:rsidRPr="0F563A2D">
        <w:rPr>
          <w:rFonts w:cs="Arial"/>
          <w:b/>
          <w:bCs/>
          <w:sz w:val="40"/>
          <w:szCs w:val="40"/>
        </w:rPr>
        <w:t>Background</w:t>
      </w:r>
    </w:p>
    <w:p w14:paraId="53AAA9D9" w14:textId="755224B4" w:rsidR="00E225EC" w:rsidRPr="006E1E69" w:rsidRDefault="3287D6CA" w:rsidP="3287D6CA">
      <w:pPr>
        <w:jc w:val="both"/>
        <w:rPr>
          <w:rFonts w:eastAsiaTheme="minorEastAsia"/>
        </w:rPr>
      </w:pPr>
      <w:r w:rsidRPr="3287D6CA">
        <w:rPr>
          <w:rFonts w:cs="Arial"/>
        </w:rPr>
        <w:t>This document provides additional information, to what is provided in the overview Excel file “</w:t>
      </w:r>
      <w:r w:rsidRPr="3287D6CA">
        <w:rPr>
          <w:rFonts w:eastAsiaTheme="minorEastAsia"/>
          <w:i/>
          <w:iCs/>
        </w:rPr>
        <w:t>Publication</w:t>
      </w:r>
      <w:r w:rsidR="00BF7F97">
        <w:rPr>
          <w:rFonts w:eastAsiaTheme="minorEastAsia"/>
          <w:i/>
          <w:iCs/>
        </w:rPr>
        <w:t xml:space="preserve"> </w:t>
      </w:r>
      <w:r w:rsidRPr="3287D6CA">
        <w:rPr>
          <w:rFonts w:eastAsiaTheme="minorEastAsia"/>
          <w:i/>
          <w:iCs/>
        </w:rPr>
        <w:t>BZR</w:t>
      </w:r>
      <w:r w:rsidR="00BF7F97">
        <w:rPr>
          <w:rFonts w:eastAsiaTheme="minorEastAsia"/>
          <w:i/>
          <w:iCs/>
        </w:rPr>
        <w:t xml:space="preserve"> </w:t>
      </w:r>
      <w:r w:rsidRPr="3287D6CA">
        <w:rPr>
          <w:rFonts w:eastAsiaTheme="minorEastAsia"/>
          <w:i/>
          <w:iCs/>
        </w:rPr>
        <w:t>Input</w:t>
      </w:r>
      <w:r w:rsidR="00BF7F97">
        <w:rPr>
          <w:rFonts w:eastAsiaTheme="minorEastAsia"/>
          <w:i/>
          <w:iCs/>
        </w:rPr>
        <w:t xml:space="preserve"> </w:t>
      </w:r>
      <w:r w:rsidRPr="3287D6CA">
        <w:rPr>
          <w:rFonts w:eastAsiaTheme="minorEastAsia"/>
          <w:i/>
          <w:iCs/>
        </w:rPr>
        <w:t>Data</w:t>
      </w:r>
      <w:r w:rsidR="00BF7F97">
        <w:rPr>
          <w:rFonts w:eastAsiaTheme="minorEastAsia"/>
          <w:i/>
          <w:iCs/>
        </w:rPr>
        <w:t xml:space="preserve"> </w:t>
      </w:r>
      <w:r w:rsidRPr="3287D6CA">
        <w:rPr>
          <w:rFonts w:eastAsiaTheme="minorEastAsia"/>
          <w:i/>
          <w:iCs/>
        </w:rPr>
        <w:t>and</w:t>
      </w:r>
      <w:r w:rsidR="00BF7F97">
        <w:rPr>
          <w:rFonts w:eastAsiaTheme="minorEastAsia"/>
          <w:i/>
          <w:iCs/>
        </w:rPr>
        <w:t xml:space="preserve"> </w:t>
      </w:r>
      <w:r w:rsidRPr="3287D6CA">
        <w:rPr>
          <w:rFonts w:eastAsiaTheme="minorEastAsia"/>
          <w:i/>
          <w:iCs/>
        </w:rPr>
        <w:t>Assumptions</w:t>
      </w:r>
      <w:r w:rsidR="00BF7F97">
        <w:rPr>
          <w:rFonts w:eastAsiaTheme="minorEastAsia"/>
          <w:i/>
          <w:iCs/>
        </w:rPr>
        <w:t xml:space="preserve"> </w:t>
      </w:r>
      <w:r w:rsidRPr="3287D6CA">
        <w:rPr>
          <w:rFonts w:eastAsiaTheme="minorEastAsia"/>
          <w:i/>
          <w:iCs/>
        </w:rPr>
        <w:t>Overview</w:t>
      </w:r>
      <w:r w:rsidR="00BF7F97">
        <w:rPr>
          <w:rFonts w:eastAsiaTheme="minorEastAsia"/>
          <w:i/>
          <w:iCs/>
        </w:rPr>
        <w:t xml:space="preserve"> N</w:t>
      </w:r>
      <w:r w:rsidRPr="3287D6CA">
        <w:rPr>
          <w:rFonts w:eastAsiaTheme="minorEastAsia"/>
          <w:i/>
          <w:iCs/>
        </w:rPr>
        <w:t>ordic.xlsx</w:t>
      </w:r>
      <w:r w:rsidRPr="3287D6CA">
        <w:rPr>
          <w:rFonts w:eastAsiaTheme="minorEastAsia"/>
        </w:rPr>
        <w:t xml:space="preserve">” which satisfies the requirements of Article 16.1 of the ACER Decision of 24 November 2020 on the Methodology and assumptions that are to be used in the bidding zone review process (hereafter the “Bidding Zone Review methodology”) in accordance with Article 14(5) of the Regulation (EU) 2019/943 of the European Parliament and of the Council of 5 June 2019 on the internal market for electricity. As per Article 16.2, the list of the minimum set of data to be published is outlined in Annex </w:t>
      </w:r>
      <w:proofErr w:type="spellStart"/>
      <w:r w:rsidRPr="3287D6CA">
        <w:rPr>
          <w:rFonts w:eastAsiaTheme="minorEastAsia"/>
        </w:rPr>
        <w:t>Ia</w:t>
      </w:r>
      <w:proofErr w:type="spellEnd"/>
      <w:r w:rsidRPr="3287D6CA">
        <w:rPr>
          <w:rFonts w:eastAsiaTheme="minorEastAsia"/>
        </w:rPr>
        <w:t xml:space="preserve"> of the Bidding Zone Review methodology.</w:t>
      </w:r>
    </w:p>
    <w:p w14:paraId="3090CD5E" w14:textId="6EC702E5" w:rsidR="00E225EC" w:rsidRPr="006E1E69" w:rsidRDefault="3287D6CA" w:rsidP="3287D6CA">
      <w:pPr>
        <w:jc w:val="both"/>
        <w:rPr>
          <w:rFonts w:cs="Arial"/>
        </w:rPr>
      </w:pPr>
      <w:r w:rsidRPr="3287D6CA">
        <w:rPr>
          <w:rFonts w:eastAsiaTheme="minorEastAsia"/>
        </w:rPr>
        <w:t xml:space="preserve">The structure and contents follow from Part A of Annex </w:t>
      </w:r>
      <w:proofErr w:type="spellStart"/>
      <w:r w:rsidRPr="3287D6CA">
        <w:rPr>
          <w:rFonts w:eastAsiaTheme="minorEastAsia"/>
        </w:rPr>
        <w:t>Ia</w:t>
      </w:r>
      <w:proofErr w:type="spellEnd"/>
      <w:r w:rsidRPr="3287D6CA">
        <w:rPr>
          <w:rFonts w:eastAsiaTheme="minorEastAsia"/>
        </w:rPr>
        <w:t xml:space="preserve"> (e.g. Chapter 1 – Scenario, Chapter 2 – Generation etc.). For some items the input values are provided by the excel files published at </w:t>
      </w:r>
      <w:proofErr w:type="spellStart"/>
      <w:r w:rsidRPr="3287D6CA">
        <w:rPr>
          <w:rFonts w:eastAsiaTheme="minorEastAsia"/>
        </w:rPr>
        <w:t>Entso</w:t>
      </w:r>
      <w:proofErr w:type="spellEnd"/>
      <w:r w:rsidRPr="3287D6CA">
        <w:rPr>
          <w:rFonts w:eastAsiaTheme="minorEastAsia"/>
        </w:rPr>
        <w:t>-E's website in the Locational Marginal Pricing (LMP) study phase. For these sections, the link to find referenced data is given.</w:t>
      </w:r>
    </w:p>
    <w:p w14:paraId="6C4688B2" w14:textId="68F70DE5" w:rsidR="00E225EC" w:rsidRPr="006E1E69" w:rsidRDefault="00E225EC" w:rsidP="007901F8">
      <w:pPr>
        <w:jc w:val="both"/>
        <w:rPr>
          <w:rFonts w:cs="Arial"/>
        </w:rPr>
      </w:pPr>
    </w:p>
    <w:p w14:paraId="68DD067F" w14:textId="024F1D18" w:rsidR="00E225EC" w:rsidRPr="006E1E69" w:rsidRDefault="00E225EC" w:rsidP="007901F8">
      <w:pPr>
        <w:jc w:val="both"/>
        <w:rPr>
          <w:rFonts w:cs="Arial"/>
        </w:rPr>
      </w:pPr>
    </w:p>
    <w:p w14:paraId="301BC4DD" w14:textId="292DE186" w:rsidR="00E225EC" w:rsidRPr="006E1E69" w:rsidRDefault="00CF19E8" w:rsidP="0F563A2D">
      <w:pPr>
        <w:jc w:val="center"/>
        <w:rPr>
          <w:rFonts w:cs="Arial"/>
          <w:i/>
          <w:iCs/>
          <w:sz w:val="36"/>
          <w:szCs w:val="36"/>
        </w:rPr>
      </w:pPr>
      <w:r>
        <w:rPr>
          <w:rFonts w:cs="Arial"/>
          <w:sz w:val="36"/>
          <w:szCs w:val="36"/>
        </w:rPr>
        <w:t>08</w:t>
      </w:r>
      <w:r w:rsidR="0F563A2D" w:rsidRPr="0F563A2D">
        <w:rPr>
          <w:rFonts w:cs="Arial"/>
          <w:sz w:val="36"/>
          <w:szCs w:val="36"/>
        </w:rPr>
        <w:t xml:space="preserve"> </w:t>
      </w:r>
      <w:r>
        <w:rPr>
          <w:rFonts w:cs="Arial"/>
          <w:sz w:val="36"/>
          <w:szCs w:val="36"/>
        </w:rPr>
        <w:t>12</w:t>
      </w:r>
      <w:r w:rsidR="0F563A2D" w:rsidRPr="0F563A2D">
        <w:rPr>
          <w:rFonts w:cs="Arial"/>
          <w:sz w:val="36"/>
          <w:szCs w:val="36"/>
        </w:rPr>
        <w:t xml:space="preserve"> 2022</w:t>
      </w:r>
    </w:p>
    <w:p w14:paraId="29A90CD0" w14:textId="555D3EE5" w:rsidR="007901F8" w:rsidRPr="006E1E69" w:rsidRDefault="007901F8" w:rsidP="0F563A2D">
      <w:pPr>
        <w:jc w:val="both"/>
        <w:rPr>
          <w:rFonts w:cs="Arial"/>
          <w:i/>
          <w:iCs/>
        </w:rPr>
      </w:pPr>
    </w:p>
    <w:p w14:paraId="7542C9A4" w14:textId="3867B94B" w:rsidR="007901F8" w:rsidRPr="006E1E69" w:rsidRDefault="007901F8" w:rsidP="00650AC8">
      <w:pPr>
        <w:jc w:val="both"/>
        <w:rPr>
          <w:rFonts w:cs="Arial"/>
        </w:rPr>
      </w:pPr>
    </w:p>
    <w:p w14:paraId="7E3C33BB" w14:textId="28B4CD0D" w:rsidR="00C06378" w:rsidRPr="006E1E69" w:rsidRDefault="00C06378" w:rsidP="00650AC8">
      <w:pPr>
        <w:jc w:val="both"/>
        <w:rPr>
          <w:rFonts w:cs="Arial"/>
        </w:rPr>
      </w:pPr>
    </w:p>
    <w:p w14:paraId="3B2B3AD9" w14:textId="0A6D4A6C" w:rsidR="00C06378" w:rsidRPr="006E1E69" w:rsidRDefault="00C06378" w:rsidP="00650AC8">
      <w:pPr>
        <w:jc w:val="both"/>
        <w:rPr>
          <w:rFonts w:cs="Arial"/>
        </w:rPr>
      </w:pPr>
    </w:p>
    <w:p w14:paraId="1DCCBB7F" w14:textId="7932BA36" w:rsidR="00C06378" w:rsidRPr="006E1E69" w:rsidRDefault="00C06378" w:rsidP="00650AC8">
      <w:pPr>
        <w:jc w:val="both"/>
        <w:rPr>
          <w:rFonts w:cs="Arial"/>
        </w:rPr>
      </w:pPr>
    </w:p>
    <w:p w14:paraId="2A1EA6E6" w14:textId="14B64D65" w:rsidR="00C06378" w:rsidRPr="006E1E69" w:rsidRDefault="0F563A2D" w:rsidP="00650AC8">
      <w:pPr>
        <w:jc w:val="both"/>
        <w:rPr>
          <w:rFonts w:cs="Arial"/>
          <w:sz w:val="44"/>
          <w:szCs w:val="44"/>
        </w:rPr>
      </w:pPr>
      <w:r w:rsidRPr="0F563A2D">
        <w:rPr>
          <w:rFonts w:cs="Arial"/>
          <w:sz w:val="44"/>
          <w:szCs w:val="44"/>
        </w:rPr>
        <w:lastRenderedPageBreak/>
        <w:t>Contents</w:t>
      </w:r>
    </w:p>
    <w:p w14:paraId="16FBF300" w14:textId="35F2EEEB" w:rsidR="00D3259D" w:rsidRPr="00AC3516" w:rsidRDefault="0F563A2D" w:rsidP="0F563A2D">
      <w:pPr>
        <w:rPr>
          <w:rFonts w:asciiTheme="minorHAnsi" w:hAnsiTheme="minorHAnsi"/>
          <w:b/>
          <w:bCs/>
        </w:rPr>
      </w:pPr>
      <w:r w:rsidRPr="0F563A2D">
        <w:rPr>
          <w:rFonts w:asciiTheme="minorHAnsi" w:hAnsiTheme="minorHAnsi"/>
          <w:b/>
          <w:bCs/>
        </w:rPr>
        <w:t>1</w:t>
      </w:r>
      <w:r w:rsidR="00D3259D">
        <w:tab/>
      </w:r>
      <w:r w:rsidRPr="0F563A2D">
        <w:rPr>
          <w:rFonts w:asciiTheme="minorHAnsi" w:hAnsiTheme="minorHAnsi"/>
          <w:b/>
          <w:bCs/>
        </w:rPr>
        <w:t>Scenario</w:t>
      </w:r>
    </w:p>
    <w:p w14:paraId="1E6C464A" w14:textId="429CA617" w:rsidR="00844C51" w:rsidRDefault="46E9B0E2">
      <w:pPr>
        <w:pStyle w:val="TOC1"/>
        <w:rPr>
          <w:rFonts w:asciiTheme="minorHAnsi" w:eastAsiaTheme="minorEastAsia" w:hAnsiTheme="minorHAnsi"/>
          <w:noProof/>
          <w:lang w:val="en-US"/>
        </w:rPr>
      </w:pPr>
      <w:r>
        <w:fldChar w:fldCharType="begin"/>
      </w:r>
      <w:r w:rsidR="00C06378">
        <w:instrText>TOC \o "1-3" \h \z \u</w:instrText>
      </w:r>
      <w:r>
        <w:fldChar w:fldCharType="separate"/>
      </w:r>
      <w:hyperlink w:anchor="_Toc120696692" w:history="1">
        <w:r w:rsidR="00844C51" w:rsidRPr="00744FC2">
          <w:rPr>
            <w:rStyle w:val="Hyperlink"/>
            <w:noProof/>
          </w:rPr>
          <w:t>1)</w:t>
        </w:r>
        <w:r w:rsidR="00844C51">
          <w:rPr>
            <w:rFonts w:asciiTheme="minorHAnsi" w:eastAsiaTheme="minorEastAsia" w:hAnsiTheme="minorHAnsi"/>
            <w:noProof/>
            <w:lang w:val="en-US"/>
          </w:rPr>
          <w:tab/>
        </w:r>
        <w:r w:rsidR="00844C51" w:rsidRPr="00744FC2">
          <w:rPr>
            <w:rStyle w:val="Hyperlink"/>
            <w:noProof/>
          </w:rPr>
          <w:t>Scenario</w:t>
        </w:r>
        <w:r w:rsidR="00844C51">
          <w:rPr>
            <w:noProof/>
            <w:webHidden/>
          </w:rPr>
          <w:tab/>
        </w:r>
        <w:r w:rsidR="00844C51">
          <w:rPr>
            <w:noProof/>
            <w:webHidden/>
          </w:rPr>
          <w:fldChar w:fldCharType="begin"/>
        </w:r>
        <w:r w:rsidR="00844C51">
          <w:rPr>
            <w:noProof/>
            <w:webHidden/>
          </w:rPr>
          <w:instrText xml:space="preserve"> PAGEREF _Toc120696692 \h </w:instrText>
        </w:r>
        <w:r w:rsidR="00844C51">
          <w:rPr>
            <w:noProof/>
            <w:webHidden/>
          </w:rPr>
        </w:r>
        <w:r w:rsidR="00844C51">
          <w:rPr>
            <w:noProof/>
            <w:webHidden/>
          </w:rPr>
          <w:fldChar w:fldCharType="separate"/>
        </w:r>
        <w:r w:rsidR="0056126B">
          <w:rPr>
            <w:noProof/>
            <w:webHidden/>
          </w:rPr>
          <w:t>4</w:t>
        </w:r>
        <w:r w:rsidR="00844C51">
          <w:rPr>
            <w:noProof/>
            <w:webHidden/>
          </w:rPr>
          <w:fldChar w:fldCharType="end"/>
        </w:r>
      </w:hyperlink>
    </w:p>
    <w:p w14:paraId="3AD14BD7" w14:textId="76A3C0E4" w:rsidR="00844C51" w:rsidRDefault="00000000">
      <w:pPr>
        <w:pStyle w:val="TOC2"/>
        <w:rPr>
          <w:rFonts w:asciiTheme="minorHAnsi" w:eastAsiaTheme="minorEastAsia" w:hAnsiTheme="minorHAnsi"/>
          <w:noProof/>
          <w:lang w:val="en-US"/>
        </w:rPr>
      </w:pPr>
      <w:hyperlink w:anchor="_Toc120696693" w:history="1">
        <w:r w:rsidR="00844C51" w:rsidRPr="00744FC2">
          <w:rPr>
            <w:rStyle w:val="Hyperlink"/>
            <w:noProof/>
            <w14:scene3d>
              <w14:camera w14:prst="orthographicFront"/>
              <w14:lightRig w14:rig="threePt" w14:dir="t">
                <w14:rot w14:lat="0" w14:lon="0" w14:rev="0"/>
              </w14:lightRig>
            </w14:scene3d>
          </w:rPr>
          <w:t>1.1</w:t>
        </w:r>
        <w:r w:rsidR="00844C51">
          <w:rPr>
            <w:rFonts w:asciiTheme="minorHAnsi" w:eastAsiaTheme="minorEastAsia" w:hAnsiTheme="minorHAnsi"/>
            <w:noProof/>
            <w:lang w:val="en-US"/>
          </w:rPr>
          <w:tab/>
        </w:r>
        <w:r w:rsidR="00844C51" w:rsidRPr="00744FC2">
          <w:rPr>
            <w:rStyle w:val="Hyperlink"/>
            <w:noProof/>
          </w:rPr>
          <w:t>List of all climate years used as a basis for the study.</w:t>
        </w:r>
        <w:r w:rsidR="00844C51">
          <w:rPr>
            <w:noProof/>
            <w:webHidden/>
          </w:rPr>
          <w:tab/>
        </w:r>
        <w:r w:rsidR="00844C51">
          <w:rPr>
            <w:noProof/>
            <w:webHidden/>
          </w:rPr>
          <w:fldChar w:fldCharType="begin"/>
        </w:r>
        <w:r w:rsidR="00844C51">
          <w:rPr>
            <w:noProof/>
            <w:webHidden/>
          </w:rPr>
          <w:instrText xml:space="preserve"> PAGEREF _Toc120696693 \h </w:instrText>
        </w:r>
        <w:r w:rsidR="00844C51">
          <w:rPr>
            <w:noProof/>
            <w:webHidden/>
          </w:rPr>
        </w:r>
        <w:r w:rsidR="00844C51">
          <w:rPr>
            <w:noProof/>
            <w:webHidden/>
          </w:rPr>
          <w:fldChar w:fldCharType="separate"/>
        </w:r>
        <w:r w:rsidR="0056126B">
          <w:rPr>
            <w:noProof/>
            <w:webHidden/>
          </w:rPr>
          <w:t>4</w:t>
        </w:r>
        <w:r w:rsidR="00844C51">
          <w:rPr>
            <w:noProof/>
            <w:webHidden/>
          </w:rPr>
          <w:fldChar w:fldCharType="end"/>
        </w:r>
      </w:hyperlink>
    </w:p>
    <w:p w14:paraId="0A575179" w14:textId="461B2CB5" w:rsidR="00844C51" w:rsidRDefault="00000000">
      <w:pPr>
        <w:pStyle w:val="TOC2"/>
        <w:rPr>
          <w:rFonts w:asciiTheme="minorHAnsi" w:eastAsiaTheme="minorEastAsia" w:hAnsiTheme="minorHAnsi"/>
          <w:noProof/>
          <w:lang w:val="en-US"/>
        </w:rPr>
      </w:pPr>
      <w:hyperlink w:anchor="_Toc120696694" w:history="1">
        <w:r w:rsidR="00844C51" w:rsidRPr="00744FC2">
          <w:rPr>
            <w:rStyle w:val="Hyperlink"/>
            <w:noProof/>
            <w14:scene3d>
              <w14:camera w14:prst="orthographicFront"/>
              <w14:lightRig w14:rig="threePt" w14:dir="t">
                <w14:rot w14:lat="0" w14:lon="0" w14:rev="0"/>
              </w14:lightRig>
            </w14:scene3d>
          </w:rPr>
          <w:t>1.2</w:t>
        </w:r>
        <w:r w:rsidR="00844C51">
          <w:rPr>
            <w:rFonts w:asciiTheme="minorHAnsi" w:eastAsiaTheme="minorEastAsia" w:hAnsiTheme="minorHAnsi"/>
            <w:noProof/>
            <w:lang w:val="en-US"/>
          </w:rPr>
          <w:tab/>
        </w:r>
        <w:r w:rsidR="00844C51" w:rsidRPr="00744FC2">
          <w:rPr>
            <w:rStyle w:val="Hyperlink"/>
            <w:noProof/>
          </w:rPr>
          <w:t>Description of the sensitivities used to complement the scenario of the ‘main study’.</w:t>
        </w:r>
        <w:r w:rsidR="00844C51">
          <w:rPr>
            <w:noProof/>
            <w:webHidden/>
          </w:rPr>
          <w:tab/>
        </w:r>
        <w:r w:rsidR="00844C51">
          <w:rPr>
            <w:noProof/>
            <w:webHidden/>
          </w:rPr>
          <w:fldChar w:fldCharType="begin"/>
        </w:r>
        <w:r w:rsidR="00844C51">
          <w:rPr>
            <w:noProof/>
            <w:webHidden/>
          </w:rPr>
          <w:instrText xml:space="preserve"> PAGEREF _Toc120696694 \h </w:instrText>
        </w:r>
        <w:r w:rsidR="00844C51">
          <w:rPr>
            <w:noProof/>
            <w:webHidden/>
          </w:rPr>
        </w:r>
        <w:r w:rsidR="00844C51">
          <w:rPr>
            <w:noProof/>
            <w:webHidden/>
          </w:rPr>
          <w:fldChar w:fldCharType="separate"/>
        </w:r>
        <w:r w:rsidR="0056126B">
          <w:rPr>
            <w:noProof/>
            <w:webHidden/>
          </w:rPr>
          <w:t>4</w:t>
        </w:r>
        <w:r w:rsidR="00844C51">
          <w:rPr>
            <w:noProof/>
            <w:webHidden/>
          </w:rPr>
          <w:fldChar w:fldCharType="end"/>
        </w:r>
      </w:hyperlink>
    </w:p>
    <w:p w14:paraId="52DD44AE" w14:textId="54A7A575" w:rsidR="00844C51" w:rsidRDefault="00000000">
      <w:pPr>
        <w:pStyle w:val="TOC2"/>
        <w:rPr>
          <w:rFonts w:asciiTheme="minorHAnsi" w:eastAsiaTheme="minorEastAsia" w:hAnsiTheme="minorHAnsi"/>
          <w:noProof/>
          <w:lang w:val="en-US"/>
        </w:rPr>
      </w:pPr>
      <w:hyperlink w:anchor="_Toc120696695" w:history="1">
        <w:r w:rsidR="00844C51" w:rsidRPr="00744FC2">
          <w:rPr>
            <w:rStyle w:val="Hyperlink"/>
            <w:noProof/>
            <w14:scene3d>
              <w14:camera w14:prst="orthographicFront"/>
              <w14:lightRig w14:rig="threePt" w14:dir="t">
                <w14:rot w14:lat="0" w14:lon="0" w14:rev="0"/>
              </w14:lightRig>
            </w14:scene3d>
          </w:rPr>
          <w:t>1.3</w:t>
        </w:r>
        <w:r w:rsidR="00844C51">
          <w:rPr>
            <w:rFonts w:asciiTheme="minorHAnsi" w:eastAsiaTheme="minorEastAsia" w:hAnsiTheme="minorHAnsi"/>
            <w:noProof/>
            <w:lang w:val="en-US"/>
          </w:rPr>
          <w:tab/>
        </w:r>
        <w:r w:rsidR="00844C51" w:rsidRPr="00744FC2">
          <w:rPr>
            <w:rStyle w:val="Hyperlink"/>
            <w:noProof/>
          </w:rPr>
          <w:t>Network model for the scenario and sensitivities</w:t>
        </w:r>
        <w:r w:rsidR="00844C51">
          <w:rPr>
            <w:noProof/>
            <w:webHidden/>
          </w:rPr>
          <w:tab/>
        </w:r>
        <w:r w:rsidR="00844C51">
          <w:rPr>
            <w:noProof/>
            <w:webHidden/>
          </w:rPr>
          <w:fldChar w:fldCharType="begin"/>
        </w:r>
        <w:r w:rsidR="00844C51">
          <w:rPr>
            <w:noProof/>
            <w:webHidden/>
          </w:rPr>
          <w:instrText xml:space="preserve"> PAGEREF _Toc120696695 \h </w:instrText>
        </w:r>
        <w:r w:rsidR="00844C51">
          <w:rPr>
            <w:noProof/>
            <w:webHidden/>
          </w:rPr>
        </w:r>
        <w:r w:rsidR="00844C51">
          <w:rPr>
            <w:noProof/>
            <w:webHidden/>
          </w:rPr>
          <w:fldChar w:fldCharType="separate"/>
        </w:r>
        <w:r w:rsidR="0056126B">
          <w:rPr>
            <w:noProof/>
            <w:webHidden/>
          </w:rPr>
          <w:t>4</w:t>
        </w:r>
        <w:r w:rsidR="00844C51">
          <w:rPr>
            <w:noProof/>
            <w:webHidden/>
          </w:rPr>
          <w:fldChar w:fldCharType="end"/>
        </w:r>
      </w:hyperlink>
    </w:p>
    <w:p w14:paraId="0DA0AA1F" w14:textId="4E29F3C3" w:rsidR="00844C51" w:rsidRDefault="00000000">
      <w:pPr>
        <w:pStyle w:val="TOC2"/>
        <w:rPr>
          <w:rFonts w:asciiTheme="minorHAnsi" w:eastAsiaTheme="minorEastAsia" w:hAnsiTheme="minorHAnsi"/>
          <w:noProof/>
          <w:lang w:val="en-US"/>
        </w:rPr>
      </w:pPr>
      <w:hyperlink w:anchor="_Toc120696696" w:history="1">
        <w:r w:rsidR="00844C51" w:rsidRPr="00744FC2">
          <w:rPr>
            <w:rStyle w:val="Hyperlink"/>
            <w:noProof/>
            <w14:scene3d>
              <w14:camera w14:prst="orthographicFront"/>
              <w14:lightRig w14:rig="threePt" w14:dir="t">
                <w14:rot w14:lat="0" w14:lon="0" w14:rev="0"/>
              </w14:lightRig>
            </w14:scene3d>
          </w:rPr>
          <w:t>1.4</w:t>
        </w:r>
        <w:r w:rsidR="00844C51">
          <w:rPr>
            <w:rFonts w:asciiTheme="minorHAnsi" w:eastAsiaTheme="minorEastAsia" w:hAnsiTheme="minorHAnsi"/>
            <w:noProof/>
            <w:lang w:val="en-US"/>
          </w:rPr>
          <w:tab/>
        </w:r>
        <w:r w:rsidR="00844C51" w:rsidRPr="00744FC2">
          <w:rPr>
            <w:rStyle w:val="Hyperlink"/>
            <w:noProof/>
          </w:rPr>
          <w:t>List of additional infrastructure projects for the target year compared to the year when the BZR starts.</w:t>
        </w:r>
        <w:r w:rsidR="00844C51">
          <w:rPr>
            <w:noProof/>
            <w:webHidden/>
          </w:rPr>
          <w:tab/>
        </w:r>
        <w:r w:rsidR="00844C51">
          <w:rPr>
            <w:noProof/>
            <w:webHidden/>
          </w:rPr>
          <w:fldChar w:fldCharType="begin"/>
        </w:r>
        <w:r w:rsidR="00844C51">
          <w:rPr>
            <w:noProof/>
            <w:webHidden/>
          </w:rPr>
          <w:instrText xml:space="preserve"> PAGEREF _Toc120696696 \h </w:instrText>
        </w:r>
        <w:r w:rsidR="00844C51">
          <w:rPr>
            <w:noProof/>
            <w:webHidden/>
          </w:rPr>
        </w:r>
        <w:r w:rsidR="00844C51">
          <w:rPr>
            <w:noProof/>
            <w:webHidden/>
          </w:rPr>
          <w:fldChar w:fldCharType="separate"/>
        </w:r>
        <w:r w:rsidR="0056126B">
          <w:rPr>
            <w:noProof/>
            <w:webHidden/>
          </w:rPr>
          <w:t>5</w:t>
        </w:r>
        <w:r w:rsidR="00844C51">
          <w:rPr>
            <w:noProof/>
            <w:webHidden/>
          </w:rPr>
          <w:fldChar w:fldCharType="end"/>
        </w:r>
      </w:hyperlink>
    </w:p>
    <w:p w14:paraId="67AB11BE" w14:textId="5DBFAAE1" w:rsidR="00844C51" w:rsidRDefault="00000000">
      <w:pPr>
        <w:pStyle w:val="TOC2"/>
        <w:rPr>
          <w:rFonts w:asciiTheme="minorHAnsi" w:eastAsiaTheme="minorEastAsia" w:hAnsiTheme="minorHAnsi"/>
          <w:noProof/>
          <w:lang w:val="en-US"/>
        </w:rPr>
      </w:pPr>
      <w:hyperlink w:anchor="_Toc120696697" w:history="1">
        <w:r w:rsidR="00844C51" w:rsidRPr="00744FC2">
          <w:rPr>
            <w:rStyle w:val="Hyperlink"/>
            <w:noProof/>
            <w14:scene3d>
              <w14:camera w14:prst="orthographicFront"/>
              <w14:lightRig w14:rig="threePt" w14:dir="t">
                <w14:rot w14:lat="0" w14:lon="0" w14:rev="0"/>
              </w14:lightRig>
            </w14:scene3d>
          </w:rPr>
          <w:t>1.5</w:t>
        </w:r>
        <w:r w:rsidR="00844C51">
          <w:rPr>
            <w:rFonts w:asciiTheme="minorHAnsi" w:eastAsiaTheme="minorEastAsia" w:hAnsiTheme="minorHAnsi"/>
            <w:noProof/>
            <w:lang w:val="en-US"/>
          </w:rPr>
          <w:tab/>
        </w:r>
        <w:r w:rsidR="00844C51" w:rsidRPr="00744FC2">
          <w:rPr>
            <w:rStyle w:val="Hyperlink"/>
            <w:noProof/>
          </w:rPr>
          <w:t>Assumptions on how different voltage levels were considered or not, per bidding zone.</w:t>
        </w:r>
        <w:r w:rsidR="00844C51">
          <w:rPr>
            <w:noProof/>
            <w:webHidden/>
          </w:rPr>
          <w:tab/>
        </w:r>
        <w:r w:rsidR="00844C51">
          <w:rPr>
            <w:noProof/>
            <w:webHidden/>
          </w:rPr>
          <w:fldChar w:fldCharType="begin"/>
        </w:r>
        <w:r w:rsidR="00844C51">
          <w:rPr>
            <w:noProof/>
            <w:webHidden/>
          </w:rPr>
          <w:instrText xml:space="preserve"> PAGEREF _Toc120696697 \h </w:instrText>
        </w:r>
        <w:r w:rsidR="00844C51">
          <w:rPr>
            <w:noProof/>
            <w:webHidden/>
          </w:rPr>
        </w:r>
        <w:r w:rsidR="00844C51">
          <w:rPr>
            <w:noProof/>
            <w:webHidden/>
          </w:rPr>
          <w:fldChar w:fldCharType="separate"/>
        </w:r>
        <w:r w:rsidR="0056126B">
          <w:rPr>
            <w:noProof/>
            <w:webHidden/>
          </w:rPr>
          <w:t>6</w:t>
        </w:r>
        <w:r w:rsidR="00844C51">
          <w:rPr>
            <w:noProof/>
            <w:webHidden/>
          </w:rPr>
          <w:fldChar w:fldCharType="end"/>
        </w:r>
      </w:hyperlink>
    </w:p>
    <w:p w14:paraId="28D4A5DA" w14:textId="599A4385" w:rsidR="00844C51" w:rsidRDefault="00000000">
      <w:pPr>
        <w:pStyle w:val="TOC1"/>
        <w:rPr>
          <w:rFonts w:asciiTheme="minorHAnsi" w:eastAsiaTheme="minorEastAsia" w:hAnsiTheme="minorHAnsi"/>
          <w:noProof/>
          <w:lang w:val="en-US"/>
        </w:rPr>
      </w:pPr>
      <w:hyperlink w:anchor="_Toc120696698" w:history="1">
        <w:r w:rsidR="00844C51" w:rsidRPr="00744FC2">
          <w:rPr>
            <w:rStyle w:val="Hyperlink"/>
            <w:noProof/>
          </w:rPr>
          <w:t>2)</w:t>
        </w:r>
        <w:r w:rsidR="00844C51">
          <w:rPr>
            <w:rFonts w:asciiTheme="minorHAnsi" w:eastAsiaTheme="minorEastAsia" w:hAnsiTheme="minorHAnsi"/>
            <w:noProof/>
            <w:lang w:val="en-US"/>
          </w:rPr>
          <w:tab/>
        </w:r>
        <w:r w:rsidR="00844C51" w:rsidRPr="00744FC2">
          <w:rPr>
            <w:rStyle w:val="Hyperlink"/>
            <w:noProof/>
          </w:rPr>
          <w:t>Generation</w:t>
        </w:r>
        <w:r w:rsidR="00844C51">
          <w:rPr>
            <w:noProof/>
            <w:webHidden/>
          </w:rPr>
          <w:tab/>
        </w:r>
        <w:r w:rsidR="00844C51">
          <w:rPr>
            <w:noProof/>
            <w:webHidden/>
          </w:rPr>
          <w:fldChar w:fldCharType="begin"/>
        </w:r>
        <w:r w:rsidR="00844C51">
          <w:rPr>
            <w:noProof/>
            <w:webHidden/>
          </w:rPr>
          <w:instrText xml:space="preserve"> PAGEREF _Toc120696698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00EB7165" w14:textId="0E2A143E" w:rsidR="00844C51" w:rsidRDefault="00000000">
      <w:pPr>
        <w:pStyle w:val="TOC2"/>
        <w:rPr>
          <w:rFonts w:asciiTheme="minorHAnsi" w:eastAsiaTheme="minorEastAsia" w:hAnsiTheme="minorHAnsi"/>
          <w:noProof/>
          <w:lang w:val="en-US"/>
        </w:rPr>
      </w:pPr>
      <w:hyperlink w:anchor="_Toc120696699" w:history="1">
        <w:r w:rsidR="00844C51" w:rsidRPr="00744FC2">
          <w:rPr>
            <w:rStyle w:val="Hyperlink"/>
            <w:noProof/>
            <w14:scene3d>
              <w14:camera w14:prst="orthographicFront"/>
              <w14:lightRig w14:rig="threePt" w14:dir="t">
                <w14:rot w14:lat="0" w14:lon="0" w14:rev="0"/>
              </w14:lightRig>
            </w14:scene3d>
          </w:rPr>
          <w:t>2.1</w:t>
        </w:r>
        <w:r w:rsidR="00844C51">
          <w:rPr>
            <w:rFonts w:asciiTheme="minorHAnsi" w:eastAsiaTheme="minorEastAsia" w:hAnsiTheme="minorHAnsi"/>
            <w:noProof/>
            <w:lang w:val="en-US"/>
          </w:rPr>
          <w:tab/>
        </w:r>
        <w:r w:rsidR="00844C51" w:rsidRPr="00744FC2">
          <w:rPr>
            <w:rStyle w:val="Hyperlink"/>
            <w:noProof/>
          </w:rPr>
          <w:t>Generation time series for weather dependent generation units</w:t>
        </w:r>
        <w:r w:rsidR="00844C51">
          <w:rPr>
            <w:noProof/>
            <w:webHidden/>
          </w:rPr>
          <w:tab/>
        </w:r>
        <w:r w:rsidR="00844C51">
          <w:rPr>
            <w:noProof/>
            <w:webHidden/>
          </w:rPr>
          <w:fldChar w:fldCharType="begin"/>
        </w:r>
        <w:r w:rsidR="00844C51">
          <w:rPr>
            <w:noProof/>
            <w:webHidden/>
          </w:rPr>
          <w:instrText xml:space="preserve"> PAGEREF _Toc120696699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6369D0F5" w14:textId="50AB95C2" w:rsidR="00844C51" w:rsidRDefault="00000000">
      <w:pPr>
        <w:pStyle w:val="TOC2"/>
        <w:rPr>
          <w:rFonts w:asciiTheme="minorHAnsi" w:eastAsiaTheme="minorEastAsia" w:hAnsiTheme="minorHAnsi"/>
          <w:noProof/>
          <w:lang w:val="en-US"/>
        </w:rPr>
      </w:pPr>
      <w:hyperlink w:anchor="_Toc120696700" w:history="1">
        <w:r w:rsidR="00844C51" w:rsidRPr="00744FC2">
          <w:rPr>
            <w:rStyle w:val="Hyperlink"/>
            <w:noProof/>
            <w14:scene3d>
              <w14:camera w14:prst="orthographicFront"/>
              <w14:lightRig w14:rig="threePt" w14:dir="t">
                <w14:rot w14:lat="0" w14:lon="0" w14:rev="0"/>
              </w14:lightRig>
            </w14:scene3d>
          </w:rPr>
          <w:t>2.2</w:t>
        </w:r>
        <w:r w:rsidR="00844C51">
          <w:rPr>
            <w:rFonts w:asciiTheme="minorHAnsi" w:eastAsiaTheme="minorEastAsia" w:hAnsiTheme="minorHAnsi"/>
            <w:noProof/>
            <w:lang w:val="en-US"/>
          </w:rPr>
          <w:tab/>
        </w:r>
        <w:r w:rsidR="00844C51" w:rsidRPr="00744FC2">
          <w:rPr>
            <w:rStyle w:val="Hyperlink"/>
            <w:noProof/>
          </w:rPr>
          <w:t>Minimum and maximum generating capacities</w:t>
        </w:r>
        <w:r w:rsidR="00844C51">
          <w:rPr>
            <w:noProof/>
            <w:webHidden/>
          </w:rPr>
          <w:tab/>
        </w:r>
        <w:r w:rsidR="00844C51">
          <w:rPr>
            <w:noProof/>
            <w:webHidden/>
          </w:rPr>
          <w:fldChar w:fldCharType="begin"/>
        </w:r>
        <w:r w:rsidR="00844C51">
          <w:rPr>
            <w:noProof/>
            <w:webHidden/>
          </w:rPr>
          <w:instrText xml:space="preserve"> PAGEREF _Toc120696700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6D8239B8" w14:textId="633115C8" w:rsidR="00844C51" w:rsidRDefault="00000000">
      <w:pPr>
        <w:pStyle w:val="TOC2"/>
        <w:rPr>
          <w:rFonts w:asciiTheme="minorHAnsi" w:eastAsiaTheme="minorEastAsia" w:hAnsiTheme="minorHAnsi"/>
          <w:noProof/>
          <w:lang w:val="en-US"/>
        </w:rPr>
      </w:pPr>
      <w:hyperlink w:anchor="_Toc120696701" w:history="1">
        <w:r w:rsidR="00844C51" w:rsidRPr="00744FC2">
          <w:rPr>
            <w:rStyle w:val="Hyperlink"/>
            <w:noProof/>
            <w14:scene3d>
              <w14:camera w14:prst="orthographicFront"/>
              <w14:lightRig w14:rig="threePt" w14:dir="t">
                <w14:rot w14:lat="0" w14:lon="0" w14:rev="0"/>
              </w14:lightRig>
            </w14:scene3d>
          </w:rPr>
          <w:t>2.3</w:t>
        </w:r>
        <w:r w:rsidR="00844C51">
          <w:rPr>
            <w:rFonts w:asciiTheme="minorHAnsi" w:eastAsiaTheme="minorEastAsia" w:hAnsiTheme="minorHAnsi"/>
            <w:noProof/>
            <w:lang w:val="en-US"/>
          </w:rPr>
          <w:tab/>
        </w:r>
        <w:r w:rsidR="00844C51" w:rsidRPr="00744FC2">
          <w:rPr>
            <w:rStyle w:val="Hyperlink"/>
            <w:noProof/>
          </w:rPr>
          <w:t>Must run constraints</w:t>
        </w:r>
        <w:r w:rsidR="00844C51">
          <w:rPr>
            <w:noProof/>
            <w:webHidden/>
          </w:rPr>
          <w:tab/>
        </w:r>
        <w:r w:rsidR="00844C51">
          <w:rPr>
            <w:noProof/>
            <w:webHidden/>
          </w:rPr>
          <w:fldChar w:fldCharType="begin"/>
        </w:r>
        <w:r w:rsidR="00844C51">
          <w:rPr>
            <w:noProof/>
            <w:webHidden/>
          </w:rPr>
          <w:instrText xml:space="preserve"> PAGEREF _Toc120696701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37ED30AB" w14:textId="2273AC4E" w:rsidR="00844C51" w:rsidRDefault="00000000">
      <w:pPr>
        <w:pStyle w:val="TOC2"/>
        <w:rPr>
          <w:rFonts w:asciiTheme="minorHAnsi" w:eastAsiaTheme="minorEastAsia" w:hAnsiTheme="minorHAnsi"/>
          <w:noProof/>
          <w:lang w:val="en-US"/>
        </w:rPr>
      </w:pPr>
      <w:hyperlink w:anchor="_Toc120696702" w:history="1">
        <w:r w:rsidR="00844C51" w:rsidRPr="00744FC2">
          <w:rPr>
            <w:rStyle w:val="Hyperlink"/>
            <w:noProof/>
            <w14:scene3d>
              <w14:camera w14:prst="orthographicFront"/>
              <w14:lightRig w14:rig="threePt" w14:dir="t">
                <w14:rot w14:lat="0" w14:lon="0" w14:rev="0"/>
              </w14:lightRig>
            </w14:scene3d>
          </w:rPr>
          <w:t>2.4</w:t>
        </w:r>
        <w:r w:rsidR="00844C51">
          <w:rPr>
            <w:rFonts w:asciiTheme="minorHAnsi" w:eastAsiaTheme="minorEastAsia" w:hAnsiTheme="minorHAnsi"/>
            <w:noProof/>
            <w:lang w:val="en-US"/>
          </w:rPr>
          <w:tab/>
        </w:r>
        <w:r w:rsidR="00844C51" w:rsidRPr="00744FC2">
          <w:rPr>
            <w:rStyle w:val="Hyperlink"/>
            <w:noProof/>
          </w:rPr>
          <w:t>Ramping capabilities</w:t>
        </w:r>
        <w:r w:rsidR="00844C51">
          <w:rPr>
            <w:noProof/>
            <w:webHidden/>
          </w:rPr>
          <w:tab/>
        </w:r>
        <w:r w:rsidR="00844C51">
          <w:rPr>
            <w:noProof/>
            <w:webHidden/>
          </w:rPr>
          <w:fldChar w:fldCharType="begin"/>
        </w:r>
        <w:r w:rsidR="00844C51">
          <w:rPr>
            <w:noProof/>
            <w:webHidden/>
          </w:rPr>
          <w:instrText xml:space="preserve"> PAGEREF _Toc120696702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2170EE75" w14:textId="5AAFE767" w:rsidR="00844C51" w:rsidRDefault="00000000">
      <w:pPr>
        <w:pStyle w:val="TOC2"/>
        <w:rPr>
          <w:rFonts w:asciiTheme="minorHAnsi" w:eastAsiaTheme="minorEastAsia" w:hAnsiTheme="minorHAnsi"/>
          <w:noProof/>
          <w:lang w:val="en-US"/>
        </w:rPr>
      </w:pPr>
      <w:hyperlink w:anchor="_Toc120696703" w:history="1">
        <w:r w:rsidR="00844C51" w:rsidRPr="00744FC2">
          <w:rPr>
            <w:rStyle w:val="Hyperlink"/>
            <w:noProof/>
            <w14:scene3d>
              <w14:camera w14:prst="orthographicFront"/>
              <w14:lightRig w14:rig="threePt" w14:dir="t">
                <w14:rot w14:lat="0" w14:lon="0" w14:rev="0"/>
              </w14:lightRig>
            </w14:scene3d>
          </w:rPr>
          <w:t>2.5</w:t>
        </w:r>
        <w:r w:rsidR="00844C51">
          <w:rPr>
            <w:rFonts w:asciiTheme="minorHAnsi" w:eastAsiaTheme="minorEastAsia" w:hAnsiTheme="minorHAnsi"/>
            <w:noProof/>
            <w:lang w:val="en-US"/>
          </w:rPr>
          <w:tab/>
        </w:r>
        <w:r w:rsidR="00844C51" w:rsidRPr="00744FC2">
          <w:rPr>
            <w:rStyle w:val="Hyperlink"/>
            <w:noProof/>
          </w:rPr>
          <w:t>Minimum run time</w:t>
        </w:r>
        <w:r w:rsidR="00844C51">
          <w:rPr>
            <w:noProof/>
            <w:webHidden/>
          </w:rPr>
          <w:tab/>
        </w:r>
        <w:r w:rsidR="00844C51">
          <w:rPr>
            <w:noProof/>
            <w:webHidden/>
          </w:rPr>
          <w:fldChar w:fldCharType="begin"/>
        </w:r>
        <w:r w:rsidR="00844C51">
          <w:rPr>
            <w:noProof/>
            <w:webHidden/>
          </w:rPr>
          <w:instrText xml:space="preserve"> PAGEREF _Toc120696703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0478CC49" w14:textId="13F14199" w:rsidR="00844C51" w:rsidRDefault="00000000">
      <w:pPr>
        <w:pStyle w:val="TOC2"/>
        <w:rPr>
          <w:rFonts w:asciiTheme="minorHAnsi" w:eastAsiaTheme="minorEastAsia" w:hAnsiTheme="minorHAnsi"/>
          <w:noProof/>
          <w:lang w:val="en-US"/>
        </w:rPr>
      </w:pPr>
      <w:hyperlink w:anchor="_Toc120696704" w:history="1">
        <w:r w:rsidR="00844C51" w:rsidRPr="00744FC2">
          <w:rPr>
            <w:rStyle w:val="Hyperlink"/>
            <w:noProof/>
            <w14:scene3d>
              <w14:camera w14:prst="orthographicFront"/>
              <w14:lightRig w14:rig="threePt" w14:dir="t">
                <w14:rot w14:lat="0" w14:lon="0" w14:rev="0"/>
              </w14:lightRig>
            </w14:scene3d>
          </w:rPr>
          <w:t>2.6</w:t>
        </w:r>
        <w:r w:rsidR="00844C51">
          <w:rPr>
            <w:rFonts w:asciiTheme="minorHAnsi" w:eastAsiaTheme="minorEastAsia" w:hAnsiTheme="minorHAnsi"/>
            <w:noProof/>
            <w:lang w:val="en-US"/>
          </w:rPr>
          <w:tab/>
        </w:r>
        <w:r w:rsidR="00844C51" w:rsidRPr="00744FC2">
          <w:rPr>
            <w:rStyle w:val="Hyperlink"/>
            <w:noProof/>
          </w:rPr>
          <w:t>Start-up and shut-down times</w:t>
        </w:r>
        <w:r w:rsidR="00844C51">
          <w:rPr>
            <w:noProof/>
            <w:webHidden/>
          </w:rPr>
          <w:tab/>
        </w:r>
        <w:r w:rsidR="00844C51">
          <w:rPr>
            <w:noProof/>
            <w:webHidden/>
          </w:rPr>
          <w:fldChar w:fldCharType="begin"/>
        </w:r>
        <w:r w:rsidR="00844C51">
          <w:rPr>
            <w:noProof/>
            <w:webHidden/>
          </w:rPr>
          <w:instrText xml:space="preserve"> PAGEREF _Toc120696704 \h </w:instrText>
        </w:r>
        <w:r w:rsidR="00844C51">
          <w:rPr>
            <w:noProof/>
            <w:webHidden/>
          </w:rPr>
        </w:r>
        <w:r w:rsidR="00844C51">
          <w:rPr>
            <w:noProof/>
            <w:webHidden/>
          </w:rPr>
          <w:fldChar w:fldCharType="separate"/>
        </w:r>
        <w:r w:rsidR="0056126B">
          <w:rPr>
            <w:noProof/>
            <w:webHidden/>
          </w:rPr>
          <w:t>7</w:t>
        </w:r>
        <w:r w:rsidR="00844C51">
          <w:rPr>
            <w:noProof/>
            <w:webHidden/>
          </w:rPr>
          <w:fldChar w:fldCharType="end"/>
        </w:r>
      </w:hyperlink>
    </w:p>
    <w:p w14:paraId="2941AE77" w14:textId="055B169C" w:rsidR="00844C51" w:rsidRDefault="00000000">
      <w:pPr>
        <w:pStyle w:val="TOC2"/>
        <w:rPr>
          <w:rFonts w:asciiTheme="minorHAnsi" w:eastAsiaTheme="minorEastAsia" w:hAnsiTheme="minorHAnsi"/>
          <w:noProof/>
          <w:lang w:val="en-US"/>
        </w:rPr>
      </w:pPr>
      <w:hyperlink w:anchor="_Toc120696705" w:history="1">
        <w:r w:rsidR="00844C51" w:rsidRPr="00744FC2">
          <w:rPr>
            <w:rStyle w:val="Hyperlink"/>
            <w:noProof/>
            <w14:scene3d>
              <w14:camera w14:prst="orthographicFront"/>
              <w14:lightRig w14:rig="threePt" w14:dir="t">
                <w14:rot w14:lat="0" w14:lon="0" w14:rev="0"/>
              </w14:lightRig>
            </w14:scene3d>
          </w:rPr>
          <w:t>2.7</w:t>
        </w:r>
        <w:r w:rsidR="00844C51">
          <w:rPr>
            <w:rFonts w:asciiTheme="minorHAnsi" w:eastAsiaTheme="minorEastAsia" w:hAnsiTheme="minorHAnsi"/>
            <w:noProof/>
            <w:lang w:val="en-US"/>
          </w:rPr>
          <w:tab/>
        </w:r>
        <w:r w:rsidR="00844C51" w:rsidRPr="00744FC2">
          <w:rPr>
            <w:rStyle w:val="Hyperlink"/>
            <w:noProof/>
          </w:rPr>
          <w:t>Start-up costs</w:t>
        </w:r>
        <w:r w:rsidR="00844C51">
          <w:rPr>
            <w:noProof/>
            <w:webHidden/>
          </w:rPr>
          <w:tab/>
        </w:r>
        <w:r w:rsidR="00844C51">
          <w:rPr>
            <w:noProof/>
            <w:webHidden/>
          </w:rPr>
          <w:fldChar w:fldCharType="begin"/>
        </w:r>
        <w:r w:rsidR="00844C51">
          <w:rPr>
            <w:noProof/>
            <w:webHidden/>
          </w:rPr>
          <w:instrText xml:space="preserve"> PAGEREF _Toc120696705 \h </w:instrText>
        </w:r>
        <w:r w:rsidR="00844C51">
          <w:rPr>
            <w:noProof/>
            <w:webHidden/>
          </w:rPr>
        </w:r>
        <w:r w:rsidR="00844C51">
          <w:rPr>
            <w:noProof/>
            <w:webHidden/>
          </w:rPr>
          <w:fldChar w:fldCharType="separate"/>
        </w:r>
        <w:r w:rsidR="0056126B">
          <w:rPr>
            <w:noProof/>
            <w:webHidden/>
          </w:rPr>
          <w:t>8</w:t>
        </w:r>
        <w:r w:rsidR="00844C51">
          <w:rPr>
            <w:noProof/>
            <w:webHidden/>
          </w:rPr>
          <w:fldChar w:fldCharType="end"/>
        </w:r>
      </w:hyperlink>
    </w:p>
    <w:p w14:paraId="57CEC992" w14:textId="2D5E6AB5" w:rsidR="00844C51" w:rsidRDefault="00000000">
      <w:pPr>
        <w:pStyle w:val="TOC2"/>
        <w:rPr>
          <w:rFonts w:asciiTheme="minorHAnsi" w:eastAsiaTheme="minorEastAsia" w:hAnsiTheme="minorHAnsi"/>
          <w:noProof/>
          <w:lang w:val="en-US"/>
        </w:rPr>
      </w:pPr>
      <w:hyperlink w:anchor="_Toc120696706" w:history="1">
        <w:r w:rsidR="00844C51" w:rsidRPr="00744FC2">
          <w:rPr>
            <w:rStyle w:val="Hyperlink"/>
            <w:noProof/>
            <w14:scene3d>
              <w14:camera w14:prst="orthographicFront"/>
              <w14:lightRig w14:rig="threePt" w14:dir="t">
                <w14:rot w14:lat="0" w14:lon="0" w14:rev="0"/>
              </w14:lightRig>
            </w14:scene3d>
          </w:rPr>
          <w:t>2.8</w:t>
        </w:r>
        <w:r w:rsidR="00844C51">
          <w:rPr>
            <w:rFonts w:asciiTheme="minorHAnsi" w:eastAsiaTheme="minorEastAsia" w:hAnsiTheme="minorHAnsi"/>
            <w:noProof/>
            <w:lang w:val="en-US"/>
          </w:rPr>
          <w:tab/>
        </w:r>
        <w:r w:rsidR="00844C51" w:rsidRPr="00744FC2">
          <w:rPr>
            <w:rStyle w:val="Hyperlink"/>
            <w:noProof/>
          </w:rPr>
          <w:t>Breakdown of short-run marginal costs used for market dispatch</w:t>
        </w:r>
        <w:r w:rsidR="00844C51">
          <w:rPr>
            <w:noProof/>
            <w:webHidden/>
          </w:rPr>
          <w:tab/>
        </w:r>
        <w:r w:rsidR="00844C51">
          <w:rPr>
            <w:noProof/>
            <w:webHidden/>
          </w:rPr>
          <w:fldChar w:fldCharType="begin"/>
        </w:r>
        <w:r w:rsidR="00844C51">
          <w:rPr>
            <w:noProof/>
            <w:webHidden/>
          </w:rPr>
          <w:instrText xml:space="preserve"> PAGEREF _Toc120696706 \h </w:instrText>
        </w:r>
        <w:r w:rsidR="00844C51">
          <w:rPr>
            <w:noProof/>
            <w:webHidden/>
          </w:rPr>
        </w:r>
        <w:r w:rsidR="00844C51">
          <w:rPr>
            <w:noProof/>
            <w:webHidden/>
          </w:rPr>
          <w:fldChar w:fldCharType="separate"/>
        </w:r>
        <w:r w:rsidR="0056126B">
          <w:rPr>
            <w:noProof/>
            <w:webHidden/>
          </w:rPr>
          <w:t>8</w:t>
        </w:r>
        <w:r w:rsidR="00844C51">
          <w:rPr>
            <w:noProof/>
            <w:webHidden/>
          </w:rPr>
          <w:fldChar w:fldCharType="end"/>
        </w:r>
      </w:hyperlink>
    </w:p>
    <w:p w14:paraId="3317C4AD" w14:textId="4CC97884" w:rsidR="00844C51" w:rsidRDefault="00000000">
      <w:pPr>
        <w:pStyle w:val="TOC2"/>
        <w:rPr>
          <w:rFonts w:asciiTheme="minorHAnsi" w:eastAsiaTheme="minorEastAsia" w:hAnsiTheme="minorHAnsi"/>
          <w:noProof/>
          <w:lang w:val="en-US"/>
        </w:rPr>
      </w:pPr>
      <w:hyperlink w:anchor="_Toc120696707" w:history="1">
        <w:r w:rsidR="00844C51" w:rsidRPr="00744FC2">
          <w:rPr>
            <w:rStyle w:val="Hyperlink"/>
            <w:noProof/>
            <w14:scene3d>
              <w14:camera w14:prst="orthographicFront"/>
              <w14:lightRig w14:rig="threePt" w14:dir="t">
                <w14:rot w14:lat="0" w14:lon="0" w14:rev="0"/>
              </w14:lightRig>
            </w14:scene3d>
          </w:rPr>
          <w:t>2.9</w:t>
        </w:r>
        <w:r w:rsidR="00844C51">
          <w:rPr>
            <w:rFonts w:asciiTheme="minorHAnsi" w:eastAsiaTheme="minorEastAsia" w:hAnsiTheme="minorHAnsi"/>
            <w:noProof/>
            <w:lang w:val="en-US"/>
          </w:rPr>
          <w:tab/>
        </w:r>
        <w:r w:rsidR="00844C51" w:rsidRPr="00744FC2">
          <w:rPr>
            <w:rStyle w:val="Hyperlink"/>
            <w:noProof/>
          </w:rPr>
          <w:t>Additional costs used for the redispatching mechanism including specific opportunity costs, readiness costs and any other cost related to the participation to redispatching</w:t>
        </w:r>
        <w:r w:rsidR="00844C51">
          <w:rPr>
            <w:noProof/>
            <w:webHidden/>
          </w:rPr>
          <w:tab/>
        </w:r>
        <w:r w:rsidR="00844C51">
          <w:rPr>
            <w:noProof/>
            <w:webHidden/>
          </w:rPr>
          <w:fldChar w:fldCharType="begin"/>
        </w:r>
        <w:r w:rsidR="00844C51">
          <w:rPr>
            <w:noProof/>
            <w:webHidden/>
          </w:rPr>
          <w:instrText xml:space="preserve"> PAGEREF _Toc120696707 \h </w:instrText>
        </w:r>
        <w:r w:rsidR="00844C51">
          <w:rPr>
            <w:noProof/>
            <w:webHidden/>
          </w:rPr>
        </w:r>
        <w:r w:rsidR="00844C51">
          <w:rPr>
            <w:noProof/>
            <w:webHidden/>
          </w:rPr>
          <w:fldChar w:fldCharType="separate"/>
        </w:r>
        <w:r w:rsidR="0056126B">
          <w:rPr>
            <w:noProof/>
            <w:webHidden/>
          </w:rPr>
          <w:t>9</w:t>
        </w:r>
        <w:r w:rsidR="00844C51">
          <w:rPr>
            <w:noProof/>
            <w:webHidden/>
          </w:rPr>
          <w:fldChar w:fldCharType="end"/>
        </w:r>
      </w:hyperlink>
    </w:p>
    <w:p w14:paraId="31E0E422" w14:textId="5FE09954" w:rsidR="00844C51" w:rsidRDefault="00000000">
      <w:pPr>
        <w:pStyle w:val="TOC1"/>
        <w:rPr>
          <w:rFonts w:asciiTheme="minorHAnsi" w:eastAsiaTheme="minorEastAsia" w:hAnsiTheme="minorHAnsi"/>
          <w:noProof/>
          <w:lang w:val="en-US"/>
        </w:rPr>
      </w:pPr>
      <w:hyperlink w:anchor="_Toc120696708" w:history="1">
        <w:r w:rsidR="00844C51" w:rsidRPr="00744FC2">
          <w:rPr>
            <w:rStyle w:val="Hyperlink"/>
            <w:noProof/>
          </w:rPr>
          <w:t>3)</w:t>
        </w:r>
        <w:r w:rsidR="00844C51">
          <w:rPr>
            <w:rFonts w:asciiTheme="minorHAnsi" w:eastAsiaTheme="minorEastAsia" w:hAnsiTheme="minorHAnsi"/>
            <w:noProof/>
            <w:lang w:val="en-US"/>
          </w:rPr>
          <w:tab/>
        </w:r>
        <w:r w:rsidR="00844C51" w:rsidRPr="00744FC2">
          <w:rPr>
            <w:rStyle w:val="Hyperlink"/>
            <w:noProof/>
          </w:rPr>
          <w:t>Load</w:t>
        </w:r>
        <w:r w:rsidR="00844C51">
          <w:rPr>
            <w:noProof/>
            <w:webHidden/>
          </w:rPr>
          <w:tab/>
        </w:r>
        <w:r w:rsidR="00844C51">
          <w:rPr>
            <w:noProof/>
            <w:webHidden/>
          </w:rPr>
          <w:fldChar w:fldCharType="begin"/>
        </w:r>
        <w:r w:rsidR="00844C51">
          <w:rPr>
            <w:noProof/>
            <w:webHidden/>
          </w:rPr>
          <w:instrText xml:space="preserve"> PAGEREF _Toc120696708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1B9CCA8A" w14:textId="7A1FBBE6" w:rsidR="00844C51" w:rsidRDefault="00000000">
      <w:pPr>
        <w:pStyle w:val="TOC2"/>
        <w:rPr>
          <w:rFonts w:asciiTheme="minorHAnsi" w:eastAsiaTheme="minorEastAsia" w:hAnsiTheme="minorHAnsi"/>
          <w:noProof/>
          <w:lang w:val="en-US"/>
        </w:rPr>
      </w:pPr>
      <w:hyperlink w:anchor="_Toc120696709" w:history="1">
        <w:r w:rsidR="00844C51" w:rsidRPr="00744FC2">
          <w:rPr>
            <w:rStyle w:val="Hyperlink"/>
            <w:noProof/>
            <w14:scene3d>
              <w14:camera w14:prst="orthographicFront"/>
              <w14:lightRig w14:rig="threePt" w14:dir="t">
                <w14:rot w14:lat="0" w14:lon="0" w14:rev="0"/>
              </w14:lightRig>
            </w14:scene3d>
          </w:rPr>
          <w:t>3.1</w:t>
        </w:r>
        <w:r w:rsidR="00844C51">
          <w:rPr>
            <w:rFonts w:asciiTheme="minorHAnsi" w:eastAsiaTheme="minorEastAsia" w:hAnsiTheme="minorHAnsi"/>
            <w:noProof/>
            <w:lang w:val="en-US"/>
          </w:rPr>
          <w:tab/>
        </w:r>
        <w:r w:rsidR="00844C51" w:rsidRPr="00744FC2">
          <w:rPr>
            <w:rStyle w:val="Hyperlink"/>
            <w:noProof/>
          </w:rPr>
          <w:t>Load time series</w:t>
        </w:r>
        <w:r w:rsidR="00844C51">
          <w:rPr>
            <w:noProof/>
            <w:webHidden/>
          </w:rPr>
          <w:tab/>
        </w:r>
        <w:r w:rsidR="00844C51">
          <w:rPr>
            <w:noProof/>
            <w:webHidden/>
          </w:rPr>
          <w:fldChar w:fldCharType="begin"/>
        </w:r>
        <w:r w:rsidR="00844C51">
          <w:rPr>
            <w:noProof/>
            <w:webHidden/>
          </w:rPr>
          <w:instrText xml:space="preserve"> PAGEREF _Toc120696709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6912CFF8" w14:textId="5B083DDD" w:rsidR="00844C51" w:rsidRDefault="00000000">
      <w:pPr>
        <w:pStyle w:val="TOC2"/>
        <w:rPr>
          <w:rFonts w:asciiTheme="minorHAnsi" w:eastAsiaTheme="minorEastAsia" w:hAnsiTheme="minorHAnsi"/>
          <w:noProof/>
          <w:lang w:val="en-US"/>
        </w:rPr>
      </w:pPr>
      <w:hyperlink w:anchor="_Toc120696710" w:history="1">
        <w:r w:rsidR="00844C51" w:rsidRPr="00744FC2">
          <w:rPr>
            <w:rStyle w:val="Hyperlink"/>
            <w:noProof/>
            <w14:scene3d>
              <w14:camera w14:prst="orthographicFront"/>
              <w14:lightRig w14:rig="threePt" w14:dir="t">
                <w14:rot w14:lat="0" w14:lon="0" w14:rev="0"/>
              </w14:lightRig>
            </w14:scene3d>
          </w:rPr>
          <w:t>3.2</w:t>
        </w:r>
        <w:r w:rsidR="00844C51">
          <w:rPr>
            <w:rFonts w:asciiTheme="minorHAnsi" w:eastAsiaTheme="minorEastAsia" w:hAnsiTheme="minorHAnsi"/>
            <w:noProof/>
            <w:lang w:val="en-US"/>
          </w:rPr>
          <w:tab/>
        </w:r>
        <w:r w:rsidR="00844C51" w:rsidRPr="00744FC2">
          <w:rPr>
            <w:rStyle w:val="Hyperlink"/>
            <w:noProof/>
          </w:rPr>
          <w:t>Day-ahead demand elasticity</w:t>
        </w:r>
        <w:r w:rsidR="00844C51">
          <w:rPr>
            <w:noProof/>
            <w:webHidden/>
          </w:rPr>
          <w:tab/>
        </w:r>
        <w:r w:rsidR="00844C51">
          <w:rPr>
            <w:noProof/>
            <w:webHidden/>
          </w:rPr>
          <w:fldChar w:fldCharType="begin"/>
        </w:r>
        <w:r w:rsidR="00844C51">
          <w:rPr>
            <w:noProof/>
            <w:webHidden/>
          </w:rPr>
          <w:instrText xml:space="preserve"> PAGEREF _Toc120696710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11C15402" w14:textId="5E270508" w:rsidR="00844C51" w:rsidRDefault="00000000">
      <w:pPr>
        <w:pStyle w:val="TOC2"/>
        <w:rPr>
          <w:rFonts w:asciiTheme="minorHAnsi" w:eastAsiaTheme="minorEastAsia" w:hAnsiTheme="minorHAnsi"/>
          <w:noProof/>
          <w:lang w:val="en-US"/>
        </w:rPr>
      </w:pPr>
      <w:hyperlink w:anchor="_Toc120696711" w:history="1">
        <w:r w:rsidR="00844C51" w:rsidRPr="00744FC2">
          <w:rPr>
            <w:rStyle w:val="Hyperlink"/>
            <w:noProof/>
            <w14:scene3d>
              <w14:camera w14:prst="orthographicFront"/>
              <w14:lightRig w14:rig="threePt" w14:dir="t">
                <w14:rot w14:lat="0" w14:lon="0" w14:rev="0"/>
              </w14:lightRig>
            </w14:scene3d>
          </w:rPr>
          <w:t>3.3</w:t>
        </w:r>
        <w:r w:rsidR="00844C51">
          <w:rPr>
            <w:rFonts w:asciiTheme="minorHAnsi" w:eastAsiaTheme="minorEastAsia" w:hAnsiTheme="minorHAnsi"/>
            <w:noProof/>
            <w:lang w:val="en-US"/>
          </w:rPr>
          <w:tab/>
        </w:r>
        <w:r w:rsidR="00844C51" w:rsidRPr="00744FC2">
          <w:rPr>
            <w:rStyle w:val="Hyperlink"/>
            <w:noProof/>
          </w:rPr>
          <w:t>DSR: Maximum power [MW] which may respond</w:t>
        </w:r>
        <w:r w:rsidR="00844C51">
          <w:rPr>
            <w:noProof/>
            <w:webHidden/>
          </w:rPr>
          <w:tab/>
        </w:r>
        <w:r w:rsidR="00844C51">
          <w:rPr>
            <w:noProof/>
            <w:webHidden/>
          </w:rPr>
          <w:fldChar w:fldCharType="begin"/>
        </w:r>
        <w:r w:rsidR="00844C51">
          <w:rPr>
            <w:noProof/>
            <w:webHidden/>
          </w:rPr>
          <w:instrText xml:space="preserve"> PAGEREF _Toc120696711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40C08E51" w14:textId="7AD2E064" w:rsidR="00844C51" w:rsidRDefault="00000000">
      <w:pPr>
        <w:pStyle w:val="TOC2"/>
        <w:rPr>
          <w:rFonts w:asciiTheme="minorHAnsi" w:eastAsiaTheme="minorEastAsia" w:hAnsiTheme="minorHAnsi"/>
          <w:noProof/>
          <w:lang w:val="en-US"/>
        </w:rPr>
      </w:pPr>
      <w:hyperlink w:anchor="_Toc120696712" w:history="1">
        <w:r w:rsidR="00844C51" w:rsidRPr="00744FC2">
          <w:rPr>
            <w:rStyle w:val="Hyperlink"/>
            <w:noProof/>
            <w14:scene3d>
              <w14:camera w14:prst="orthographicFront"/>
              <w14:lightRig w14:rig="threePt" w14:dir="t">
                <w14:rot w14:lat="0" w14:lon="0" w14:rev="0"/>
              </w14:lightRig>
            </w14:scene3d>
          </w:rPr>
          <w:t>3.4</w:t>
        </w:r>
        <w:r w:rsidR="00844C51">
          <w:rPr>
            <w:rFonts w:asciiTheme="minorHAnsi" w:eastAsiaTheme="minorEastAsia" w:hAnsiTheme="minorHAnsi"/>
            <w:noProof/>
            <w:lang w:val="en-US"/>
          </w:rPr>
          <w:tab/>
        </w:r>
        <w:r w:rsidR="00844C51" w:rsidRPr="00744FC2">
          <w:rPr>
            <w:rStyle w:val="Hyperlink"/>
            <w:noProof/>
          </w:rPr>
          <w:t>DSR: Minimum price [€/MWh] at which the response is triggered</w:t>
        </w:r>
        <w:r w:rsidR="00844C51">
          <w:rPr>
            <w:noProof/>
            <w:webHidden/>
          </w:rPr>
          <w:tab/>
        </w:r>
        <w:r w:rsidR="00844C51">
          <w:rPr>
            <w:noProof/>
            <w:webHidden/>
          </w:rPr>
          <w:fldChar w:fldCharType="begin"/>
        </w:r>
        <w:r w:rsidR="00844C51">
          <w:rPr>
            <w:noProof/>
            <w:webHidden/>
          </w:rPr>
          <w:instrText xml:space="preserve"> PAGEREF _Toc120696712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36209F1B" w14:textId="5C186E65" w:rsidR="00844C51" w:rsidRDefault="00000000">
      <w:pPr>
        <w:pStyle w:val="TOC2"/>
        <w:rPr>
          <w:rFonts w:asciiTheme="minorHAnsi" w:eastAsiaTheme="minorEastAsia" w:hAnsiTheme="minorHAnsi"/>
          <w:noProof/>
          <w:lang w:val="en-US"/>
        </w:rPr>
      </w:pPr>
      <w:hyperlink w:anchor="_Toc120696713" w:history="1">
        <w:r w:rsidR="00844C51" w:rsidRPr="00744FC2">
          <w:rPr>
            <w:rStyle w:val="Hyperlink"/>
            <w:noProof/>
            <w14:scene3d>
              <w14:camera w14:prst="orthographicFront"/>
              <w14:lightRig w14:rig="threePt" w14:dir="t">
                <w14:rot w14:lat="0" w14:lon="0" w14:rev="0"/>
              </w14:lightRig>
            </w14:scene3d>
          </w:rPr>
          <w:t>3.5</w:t>
        </w:r>
        <w:r w:rsidR="00844C51">
          <w:rPr>
            <w:rFonts w:asciiTheme="minorHAnsi" w:eastAsiaTheme="minorEastAsia" w:hAnsiTheme="minorHAnsi"/>
            <w:noProof/>
            <w:lang w:val="en-US"/>
          </w:rPr>
          <w:tab/>
        </w:r>
        <w:r w:rsidR="00844C51" w:rsidRPr="00744FC2">
          <w:rPr>
            <w:rStyle w:val="Hyperlink"/>
            <w:noProof/>
          </w:rPr>
          <w:t>DSR: Maximum activation duration [h]</w:t>
        </w:r>
        <w:r w:rsidR="00844C51">
          <w:rPr>
            <w:noProof/>
            <w:webHidden/>
          </w:rPr>
          <w:tab/>
        </w:r>
        <w:r w:rsidR="00844C51">
          <w:rPr>
            <w:noProof/>
            <w:webHidden/>
          </w:rPr>
          <w:fldChar w:fldCharType="begin"/>
        </w:r>
        <w:r w:rsidR="00844C51">
          <w:rPr>
            <w:noProof/>
            <w:webHidden/>
          </w:rPr>
          <w:instrText xml:space="preserve"> PAGEREF _Toc120696713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1C8494F2" w14:textId="06D8B46B" w:rsidR="00844C51" w:rsidRDefault="00000000">
      <w:pPr>
        <w:pStyle w:val="TOC2"/>
        <w:rPr>
          <w:rFonts w:asciiTheme="minorHAnsi" w:eastAsiaTheme="minorEastAsia" w:hAnsiTheme="minorHAnsi"/>
          <w:noProof/>
          <w:lang w:val="en-US"/>
        </w:rPr>
      </w:pPr>
      <w:hyperlink w:anchor="_Toc120696714" w:history="1">
        <w:r w:rsidR="00844C51" w:rsidRPr="00744FC2">
          <w:rPr>
            <w:rStyle w:val="Hyperlink"/>
            <w:noProof/>
            <w14:scene3d>
              <w14:camera w14:prst="orthographicFront"/>
              <w14:lightRig w14:rig="threePt" w14:dir="t">
                <w14:rot w14:lat="0" w14:lon="0" w14:rev="0"/>
              </w14:lightRig>
            </w14:scene3d>
          </w:rPr>
          <w:t>3.6</w:t>
        </w:r>
        <w:r w:rsidR="00844C51">
          <w:rPr>
            <w:rFonts w:asciiTheme="minorHAnsi" w:eastAsiaTheme="minorEastAsia" w:hAnsiTheme="minorHAnsi"/>
            <w:noProof/>
            <w:lang w:val="en-US"/>
          </w:rPr>
          <w:tab/>
        </w:r>
        <w:r w:rsidR="00844C51" w:rsidRPr="00744FC2">
          <w:rPr>
            <w:rStyle w:val="Hyperlink"/>
            <w:noProof/>
          </w:rPr>
          <w:t>DSR: Maximum activated energy per day [MWh]</w:t>
        </w:r>
        <w:r w:rsidR="00844C51">
          <w:rPr>
            <w:noProof/>
            <w:webHidden/>
          </w:rPr>
          <w:tab/>
        </w:r>
        <w:r w:rsidR="00844C51">
          <w:rPr>
            <w:noProof/>
            <w:webHidden/>
          </w:rPr>
          <w:fldChar w:fldCharType="begin"/>
        </w:r>
        <w:r w:rsidR="00844C51">
          <w:rPr>
            <w:noProof/>
            <w:webHidden/>
          </w:rPr>
          <w:instrText xml:space="preserve"> PAGEREF _Toc120696714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2552BBFE" w14:textId="604835D7" w:rsidR="00844C51" w:rsidRDefault="00000000">
      <w:pPr>
        <w:pStyle w:val="TOC2"/>
        <w:rPr>
          <w:rFonts w:asciiTheme="minorHAnsi" w:eastAsiaTheme="minorEastAsia" w:hAnsiTheme="minorHAnsi"/>
          <w:noProof/>
          <w:lang w:val="en-US"/>
        </w:rPr>
      </w:pPr>
      <w:hyperlink w:anchor="_Toc120696715" w:history="1">
        <w:r w:rsidR="00844C51" w:rsidRPr="00744FC2">
          <w:rPr>
            <w:rStyle w:val="Hyperlink"/>
            <w:noProof/>
            <w14:scene3d>
              <w14:camera w14:prst="orthographicFront"/>
              <w14:lightRig w14:rig="threePt" w14:dir="t">
                <w14:rot w14:lat="0" w14:lon="0" w14:rev="0"/>
              </w14:lightRig>
            </w14:scene3d>
          </w:rPr>
          <w:t>3.7</w:t>
        </w:r>
        <w:r w:rsidR="00844C51">
          <w:rPr>
            <w:rFonts w:asciiTheme="minorHAnsi" w:eastAsiaTheme="minorEastAsia" w:hAnsiTheme="minorHAnsi"/>
            <w:noProof/>
            <w:lang w:val="en-US"/>
          </w:rPr>
          <w:tab/>
        </w:r>
        <w:r w:rsidR="00844C51" w:rsidRPr="00744FC2">
          <w:rPr>
            <w:rStyle w:val="Hyperlink"/>
            <w:noProof/>
          </w:rPr>
          <w:t>DSR:  Average amount of DSR [MW] available for the market dispatch</w:t>
        </w:r>
        <w:r w:rsidR="00844C51">
          <w:rPr>
            <w:noProof/>
            <w:webHidden/>
          </w:rPr>
          <w:tab/>
        </w:r>
        <w:r w:rsidR="00844C51">
          <w:rPr>
            <w:noProof/>
            <w:webHidden/>
          </w:rPr>
          <w:fldChar w:fldCharType="begin"/>
        </w:r>
        <w:r w:rsidR="00844C51">
          <w:rPr>
            <w:noProof/>
            <w:webHidden/>
          </w:rPr>
          <w:instrText xml:space="preserve"> PAGEREF _Toc120696715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7202BBF6" w14:textId="20AEDFA5" w:rsidR="00844C51" w:rsidRDefault="00000000">
      <w:pPr>
        <w:pStyle w:val="TOC2"/>
        <w:rPr>
          <w:rFonts w:asciiTheme="minorHAnsi" w:eastAsiaTheme="minorEastAsia" w:hAnsiTheme="minorHAnsi"/>
          <w:noProof/>
          <w:lang w:val="en-US"/>
        </w:rPr>
      </w:pPr>
      <w:hyperlink w:anchor="_Toc120696716" w:history="1">
        <w:r w:rsidR="00844C51" w:rsidRPr="00744FC2">
          <w:rPr>
            <w:rStyle w:val="Hyperlink"/>
            <w:noProof/>
            <w14:scene3d>
              <w14:camera w14:prst="orthographicFront"/>
              <w14:lightRig w14:rig="threePt" w14:dir="t">
                <w14:rot w14:lat="0" w14:lon="0" w14:rev="0"/>
              </w14:lightRig>
            </w14:scene3d>
          </w:rPr>
          <w:t>3.8</w:t>
        </w:r>
        <w:r w:rsidR="00844C51">
          <w:rPr>
            <w:rFonts w:asciiTheme="minorHAnsi" w:eastAsiaTheme="minorEastAsia" w:hAnsiTheme="minorHAnsi"/>
            <w:noProof/>
            <w:lang w:val="en-US"/>
          </w:rPr>
          <w:tab/>
        </w:r>
        <w:r w:rsidR="00844C51" w:rsidRPr="00744FC2">
          <w:rPr>
            <w:rStyle w:val="Hyperlink"/>
            <w:noProof/>
          </w:rPr>
          <w:t>DSR: Average amount of explicit DSR [MW] not available for redispatching after considering market dispatch and technical constraints</w:t>
        </w:r>
        <w:r w:rsidR="00844C51">
          <w:rPr>
            <w:noProof/>
            <w:webHidden/>
          </w:rPr>
          <w:tab/>
        </w:r>
        <w:r w:rsidR="00844C51">
          <w:rPr>
            <w:noProof/>
            <w:webHidden/>
          </w:rPr>
          <w:fldChar w:fldCharType="begin"/>
        </w:r>
        <w:r w:rsidR="00844C51">
          <w:rPr>
            <w:noProof/>
            <w:webHidden/>
          </w:rPr>
          <w:instrText xml:space="preserve"> PAGEREF _Toc120696716 \h </w:instrText>
        </w:r>
        <w:r w:rsidR="00844C51">
          <w:rPr>
            <w:noProof/>
            <w:webHidden/>
          </w:rPr>
        </w:r>
        <w:r w:rsidR="00844C51">
          <w:rPr>
            <w:noProof/>
            <w:webHidden/>
          </w:rPr>
          <w:fldChar w:fldCharType="separate"/>
        </w:r>
        <w:r w:rsidR="0056126B">
          <w:rPr>
            <w:noProof/>
            <w:webHidden/>
          </w:rPr>
          <w:t>11</w:t>
        </w:r>
        <w:r w:rsidR="00844C51">
          <w:rPr>
            <w:noProof/>
            <w:webHidden/>
          </w:rPr>
          <w:fldChar w:fldCharType="end"/>
        </w:r>
      </w:hyperlink>
    </w:p>
    <w:p w14:paraId="6DF1D183" w14:textId="2D714C69" w:rsidR="00844C51" w:rsidRDefault="00000000">
      <w:pPr>
        <w:pStyle w:val="TOC2"/>
        <w:rPr>
          <w:rFonts w:asciiTheme="minorHAnsi" w:eastAsiaTheme="minorEastAsia" w:hAnsiTheme="minorHAnsi"/>
          <w:noProof/>
          <w:lang w:val="en-US"/>
        </w:rPr>
      </w:pPr>
      <w:hyperlink w:anchor="_Toc120696717" w:history="1">
        <w:r w:rsidR="00844C51" w:rsidRPr="00744FC2">
          <w:rPr>
            <w:rStyle w:val="Hyperlink"/>
            <w:noProof/>
            <w14:scene3d>
              <w14:camera w14:prst="orthographicFront"/>
              <w14:lightRig w14:rig="threePt" w14:dir="t">
                <w14:rot w14:lat="0" w14:lon="0" w14:rev="0"/>
              </w14:lightRig>
            </w14:scene3d>
          </w:rPr>
          <w:t>3.9</w:t>
        </w:r>
        <w:r w:rsidR="00844C51">
          <w:rPr>
            <w:rFonts w:asciiTheme="minorHAnsi" w:eastAsiaTheme="minorEastAsia" w:hAnsiTheme="minorHAnsi"/>
            <w:noProof/>
            <w:lang w:val="en-US"/>
          </w:rPr>
          <w:tab/>
        </w:r>
        <w:r w:rsidR="00844C51" w:rsidRPr="00744FC2">
          <w:rPr>
            <w:rStyle w:val="Hyperlink"/>
            <w:noProof/>
          </w:rPr>
          <w:t>Average amount of DSR [MW] available for neither of them</w:t>
        </w:r>
        <w:r w:rsidR="00844C51">
          <w:rPr>
            <w:noProof/>
            <w:webHidden/>
          </w:rPr>
          <w:tab/>
        </w:r>
        <w:r w:rsidR="00844C51">
          <w:rPr>
            <w:noProof/>
            <w:webHidden/>
          </w:rPr>
          <w:fldChar w:fldCharType="begin"/>
        </w:r>
        <w:r w:rsidR="00844C51">
          <w:rPr>
            <w:noProof/>
            <w:webHidden/>
          </w:rPr>
          <w:instrText xml:space="preserve"> PAGEREF _Toc120696717 \h </w:instrText>
        </w:r>
        <w:r w:rsidR="00844C51">
          <w:rPr>
            <w:noProof/>
            <w:webHidden/>
          </w:rPr>
        </w:r>
        <w:r w:rsidR="00844C51">
          <w:rPr>
            <w:noProof/>
            <w:webHidden/>
          </w:rPr>
          <w:fldChar w:fldCharType="separate"/>
        </w:r>
        <w:r w:rsidR="0056126B">
          <w:rPr>
            <w:noProof/>
            <w:webHidden/>
          </w:rPr>
          <w:t>12</w:t>
        </w:r>
        <w:r w:rsidR="00844C51">
          <w:rPr>
            <w:noProof/>
            <w:webHidden/>
          </w:rPr>
          <w:fldChar w:fldCharType="end"/>
        </w:r>
      </w:hyperlink>
    </w:p>
    <w:p w14:paraId="70FF863F" w14:textId="3989E4CE" w:rsidR="00844C51" w:rsidRDefault="00000000">
      <w:pPr>
        <w:pStyle w:val="TOC1"/>
        <w:rPr>
          <w:rFonts w:asciiTheme="minorHAnsi" w:eastAsiaTheme="minorEastAsia" w:hAnsiTheme="minorHAnsi"/>
          <w:noProof/>
          <w:lang w:val="en-US"/>
        </w:rPr>
      </w:pPr>
      <w:hyperlink w:anchor="_Toc120696718" w:history="1">
        <w:r w:rsidR="00844C51" w:rsidRPr="00744FC2">
          <w:rPr>
            <w:rStyle w:val="Hyperlink"/>
            <w:noProof/>
          </w:rPr>
          <w:t>4)</w:t>
        </w:r>
        <w:r w:rsidR="00844C51">
          <w:rPr>
            <w:rFonts w:asciiTheme="minorHAnsi" w:eastAsiaTheme="minorEastAsia" w:hAnsiTheme="minorHAnsi"/>
            <w:noProof/>
            <w:lang w:val="en-US"/>
          </w:rPr>
          <w:tab/>
        </w:r>
        <w:r w:rsidR="00844C51" w:rsidRPr="00744FC2">
          <w:rPr>
            <w:rStyle w:val="Hyperlink"/>
            <w:noProof/>
          </w:rPr>
          <w:t>Reserves</w:t>
        </w:r>
        <w:r w:rsidR="00844C51">
          <w:rPr>
            <w:noProof/>
            <w:webHidden/>
          </w:rPr>
          <w:tab/>
        </w:r>
        <w:r w:rsidR="00844C51">
          <w:rPr>
            <w:noProof/>
            <w:webHidden/>
          </w:rPr>
          <w:fldChar w:fldCharType="begin"/>
        </w:r>
        <w:r w:rsidR="00844C51">
          <w:rPr>
            <w:noProof/>
            <w:webHidden/>
          </w:rPr>
          <w:instrText xml:space="preserve"> PAGEREF _Toc120696718 \h </w:instrText>
        </w:r>
        <w:r w:rsidR="00844C51">
          <w:rPr>
            <w:noProof/>
            <w:webHidden/>
          </w:rPr>
        </w:r>
        <w:r w:rsidR="00844C51">
          <w:rPr>
            <w:noProof/>
            <w:webHidden/>
          </w:rPr>
          <w:fldChar w:fldCharType="separate"/>
        </w:r>
        <w:r w:rsidR="0056126B">
          <w:rPr>
            <w:noProof/>
            <w:webHidden/>
          </w:rPr>
          <w:t>13</w:t>
        </w:r>
        <w:r w:rsidR="00844C51">
          <w:rPr>
            <w:noProof/>
            <w:webHidden/>
          </w:rPr>
          <w:fldChar w:fldCharType="end"/>
        </w:r>
      </w:hyperlink>
    </w:p>
    <w:p w14:paraId="15CE223D" w14:textId="0EBF9136" w:rsidR="00844C51" w:rsidRDefault="00000000">
      <w:pPr>
        <w:pStyle w:val="TOC2"/>
        <w:rPr>
          <w:rFonts w:asciiTheme="minorHAnsi" w:eastAsiaTheme="minorEastAsia" w:hAnsiTheme="minorHAnsi"/>
          <w:noProof/>
          <w:lang w:val="en-US"/>
        </w:rPr>
      </w:pPr>
      <w:hyperlink w:anchor="_Toc120696719" w:history="1">
        <w:r w:rsidR="00844C51" w:rsidRPr="00744FC2">
          <w:rPr>
            <w:rStyle w:val="Hyperlink"/>
            <w:noProof/>
            <w14:scene3d>
              <w14:camera w14:prst="orthographicFront"/>
              <w14:lightRig w14:rig="threePt" w14:dir="t">
                <w14:rot w14:lat="0" w14:lon="0" w14:rev="0"/>
              </w14:lightRig>
            </w14:scene3d>
          </w:rPr>
          <w:t>4.1</w:t>
        </w:r>
        <w:r w:rsidR="00844C51">
          <w:rPr>
            <w:rFonts w:asciiTheme="minorHAnsi" w:eastAsiaTheme="minorEastAsia" w:hAnsiTheme="minorHAnsi"/>
            <w:noProof/>
            <w:lang w:val="en-US"/>
          </w:rPr>
          <w:tab/>
        </w:r>
        <w:r w:rsidR="00844C51" w:rsidRPr="00744FC2">
          <w:rPr>
            <w:rStyle w:val="Hyperlink"/>
            <w:noProof/>
          </w:rPr>
          <w:t>FCR requirement [MW]</w:t>
        </w:r>
        <w:r w:rsidR="00844C51">
          <w:rPr>
            <w:noProof/>
            <w:webHidden/>
          </w:rPr>
          <w:tab/>
        </w:r>
        <w:r w:rsidR="00844C51">
          <w:rPr>
            <w:noProof/>
            <w:webHidden/>
          </w:rPr>
          <w:fldChar w:fldCharType="begin"/>
        </w:r>
        <w:r w:rsidR="00844C51">
          <w:rPr>
            <w:noProof/>
            <w:webHidden/>
          </w:rPr>
          <w:instrText xml:space="preserve"> PAGEREF _Toc120696719 \h </w:instrText>
        </w:r>
        <w:r w:rsidR="00844C51">
          <w:rPr>
            <w:noProof/>
            <w:webHidden/>
          </w:rPr>
        </w:r>
        <w:r w:rsidR="00844C51">
          <w:rPr>
            <w:noProof/>
            <w:webHidden/>
          </w:rPr>
          <w:fldChar w:fldCharType="separate"/>
        </w:r>
        <w:r w:rsidR="0056126B">
          <w:rPr>
            <w:noProof/>
            <w:webHidden/>
          </w:rPr>
          <w:t>13</w:t>
        </w:r>
        <w:r w:rsidR="00844C51">
          <w:rPr>
            <w:noProof/>
            <w:webHidden/>
          </w:rPr>
          <w:fldChar w:fldCharType="end"/>
        </w:r>
      </w:hyperlink>
    </w:p>
    <w:p w14:paraId="200441AC" w14:textId="3AB17152" w:rsidR="00844C51" w:rsidRDefault="00000000">
      <w:pPr>
        <w:pStyle w:val="TOC2"/>
        <w:rPr>
          <w:rFonts w:asciiTheme="minorHAnsi" w:eastAsiaTheme="minorEastAsia" w:hAnsiTheme="minorHAnsi"/>
          <w:noProof/>
          <w:lang w:val="en-US"/>
        </w:rPr>
      </w:pPr>
      <w:hyperlink w:anchor="_Toc120696720" w:history="1">
        <w:r w:rsidR="00844C51" w:rsidRPr="00744FC2">
          <w:rPr>
            <w:rStyle w:val="Hyperlink"/>
            <w:noProof/>
            <w14:scene3d>
              <w14:camera w14:prst="orthographicFront"/>
              <w14:lightRig w14:rig="threePt" w14:dir="t">
                <w14:rot w14:lat="0" w14:lon="0" w14:rev="0"/>
              </w14:lightRig>
            </w14:scene3d>
          </w:rPr>
          <w:t>4.2</w:t>
        </w:r>
        <w:r w:rsidR="00844C51">
          <w:rPr>
            <w:rFonts w:asciiTheme="minorHAnsi" w:eastAsiaTheme="minorEastAsia" w:hAnsiTheme="minorHAnsi"/>
            <w:noProof/>
            <w:lang w:val="en-US"/>
          </w:rPr>
          <w:tab/>
        </w:r>
        <w:r w:rsidR="00844C51" w:rsidRPr="00744FC2">
          <w:rPr>
            <w:rStyle w:val="Hyperlink"/>
            <w:noProof/>
          </w:rPr>
          <w:t>FRR requirement [MW]</w:t>
        </w:r>
        <w:r w:rsidR="00844C51">
          <w:rPr>
            <w:noProof/>
            <w:webHidden/>
          </w:rPr>
          <w:tab/>
        </w:r>
        <w:r w:rsidR="00844C51">
          <w:rPr>
            <w:noProof/>
            <w:webHidden/>
          </w:rPr>
          <w:fldChar w:fldCharType="begin"/>
        </w:r>
        <w:r w:rsidR="00844C51">
          <w:rPr>
            <w:noProof/>
            <w:webHidden/>
          </w:rPr>
          <w:instrText xml:space="preserve"> PAGEREF _Toc120696720 \h </w:instrText>
        </w:r>
        <w:r w:rsidR="00844C51">
          <w:rPr>
            <w:noProof/>
            <w:webHidden/>
          </w:rPr>
        </w:r>
        <w:r w:rsidR="00844C51">
          <w:rPr>
            <w:noProof/>
            <w:webHidden/>
          </w:rPr>
          <w:fldChar w:fldCharType="separate"/>
        </w:r>
        <w:r w:rsidR="0056126B">
          <w:rPr>
            <w:noProof/>
            <w:webHidden/>
          </w:rPr>
          <w:t>13</w:t>
        </w:r>
        <w:r w:rsidR="00844C51">
          <w:rPr>
            <w:noProof/>
            <w:webHidden/>
          </w:rPr>
          <w:fldChar w:fldCharType="end"/>
        </w:r>
      </w:hyperlink>
    </w:p>
    <w:p w14:paraId="5E583036" w14:textId="121DAED6" w:rsidR="00844C51" w:rsidRDefault="00000000">
      <w:pPr>
        <w:pStyle w:val="TOC2"/>
        <w:rPr>
          <w:rFonts w:asciiTheme="minorHAnsi" w:eastAsiaTheme="minorEastAsia" w:hAnsiTheme="minorHAnsi"/>
          <w:noProof/>
          <w:lang w:val="en-US"/>
        </w:rPr>
      </w:pPr>
      <w:hyperlink w:anchor="_Toc120696721" w:history="1">
        <w:r w:rsidR="00844C51" w:rsidRPr="00744FC2">
          <w:rPr>
            <w:rStyle w:val="Hyperlink"/>
            <w:noProof/>
            <w14:scene3d>
              <w14:camera w14:prst="orthographicFront"/>
              <w14:lightRig w14:rig="threePt" w14:dir="t">
                <w14:rot w14:lat="0" w14:lon="0" w14:rev="0"/>
              </w14:lightRig>
            </w14:scene3d>
          </w:rPr>
          <w:t>4.3</w:t>
        </w:r>
        <w:r w:rsidR="00844C51">
          <w:rPr>
            <w:rFonts w:asciiTheme="minorHAnsi" w:eastAsiaTheme="minorEastAsia" w:hAnsiTheme="minorHAnsi"/>
            <w:noProof/>
            <w:lang w:val="en-US"/>
          </w:rPr>
          <w:tab/>
        </w:r>
        <w:r w:rsidR="00844C51" w:rsidRPr="00744FC2">
          <w:rPr>
            <w:rStyle w:val="Hyperlink"/>
            <w:noProof/>
          </w:rPr>
          <w:t>RR requirement [MW]</w:t>
        </w:r>
        <w:r w:rsidR="00844C51">
          <w:rPr>
            <w:noProof/>
            <w:webHidden/>
          </w:rPr>
          <w:tab/>
        </w:r>
        <w:r w:rsidR="00844C51">
          <w:rPr>
            <w:noProof/>
            <w:webHidden/>
          </w:rPr>
          <w:fldChar w:fldCharType="begin"/>
        </w:r>
        <w:r w:rsidR="00844C51">
          <w:rPr>
            <w:noProof/>
            <w:webHidden/>
          </w:rPr>
          <w:instrText xml:space="preserve"> PAGEREF _Toc120696721 \h </w:instrText>
        </w:r>
        <w:r w:rsidR="00844C51">
          <w:rPr>
            <w:noProof/>
            <w:webHidden/>
          </w:rPr>
        </w:r>
        <w:r w:rsidR="00844C51">
          <w:rPr>
            <w:noProof/>
            <w:webHidden/>
          </w:rPr>
          <w:fldChar w:fldCharType="separate"/>
        </w:r>
        <w:r w:rsidR="0056126B">
          <w:rPr>
            <w:noProof/>
            <w:webHidden/>
          </w:rPr>
          <w:t>13</w:t>
        </w:r>
        <w:r w:rsidR="00844C51">
          <w:rPr>
            <w:noProof/>
            <w:webHidden/>
          </w:rPr>
          <w:fldChar w:fldCharType="end"/>
        </w:r>
      </w:hyperlink>
    </w:p>
    <w:p w14:paraId="783E6174" w14:textId="175142E0" w:rsidR="00844C51" w:rsidRDefault="00000000">
      <w:pPr>
        <w:pStyle w:val="TOC1"/>
        <w:rPr>
          <w:rFonts w:asciiTheme="minorHAnsi" w:eastAsiaTheme="minorEastAsia" w:hAnsiTheme="minorHAnsi"/>
          <w:noProof/>
          <w:lang w:val="en-US"/>
        </w:rPr>
      </w:pPr>
      <w:hyperlink w:anchor="_Toc120696722" w:history="1">
        <w:r w:rsidR="00844C51" w:rsidRPr="00744FC2">
          <w:rPr>
            <w:rStyle w:val="Hyperlink"/>
            <w:noProof/>
          </w:rPr>
          <w:t>5)</w:t>
        </w:r>
        <w:r w:rsidR="00844C51">
          <w:rPr>
            <w:rFonts w:asciiTheme="minorHAnsi" w:eastAsiaTheme="minorEastAsia" w:hAnsiTheme="minorHAnsi"/>
            <w:noProof/>
            <w:lang w:val="en-US"/>
          </w:rPr>
          <w:tab/>
        </w:r>
        <w:r w:rsidR="00844C51" w:rsidRPr="00744FC2">
          <w:rPr>
            <w:rStyle w:val="Hyperlink"/>
            <w:noProof/>
          </w:rPr>
          <w:t>Capacity Calculation</w:t>
        </w:r>
        <w:r w:rsidR="00844C51">
          <w:rPr>
            <w:noProof/>
            <w:webHidden/>
          </w:rPr>
          <w:tab/>
        </w:r>
        <w:r w:rsidR="00844C51">
          <w:rPr>
            <w:noProof/>
            <w:webHidden/>
          </w:rPr>
          <w:fldChar w:fldCharType="begin"/>
        </w:r>
        <w:r w:rsidR="00844C51">
          <w:rPr>
            <w:noProof/>
            <w:webHidden/>
          </w:rPr>
          <w:instrText xml:space="preserve"> PAGEREF _Toc120696722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0C2D972E" w14:textId="67389939" w:rsidR="00844C51" w:rsidRDefault="00000000">
      <w:pPr>
        <w:pStyle w:val="TOC2"/>
        <w:rPr>
          <w:rFonts w:asciiTheme="minorHAnsi" w:eastAsiaTheme="minorEastAsia" w:hAnsiTheme="minorHAnsi"/>
          <w:noProof/>
          <w:lang w:val="en-US"/>
        </w:rPr>
      </w:pPr>
      <w:hyperlink w:anchor="_Toc120696723" w:history="1">
        <w:r w:rsidR="00844C51" w:rsidRPr="00744FC2">
          <w:rPr>
            <w:rStyle w:val="Hyperlink"/>
            <w:noProof/>
            <w14:scene3d>
              <w14:camera w14:prst="orthographicFront"/>
              <w14:lightRig w14:rig="threePt" w14:dir="t">
                <w14:rot w14:lat="0" w14:lon="0" w14:rev="0"/>
              </w14:lightRig>
            </w14:scene3d>
          </w:rPr>
          <w:t>5.1</w:t>
        </w:r>
        <w:r w:rsidR="00844C51">
          <w:rPr>
            <w:rFonts w:asciiTheme="minorHAnsi" w:eastAsiaTheme="minorEastAsia" w:hAnsiTheme="minorHAnsi"/>
            <w:noProof/>
            <w:lang w:val="en-US"/>
          </w:rPr>
          <w:tab/>
        </w:r>
        <w:r w:rsidR="00844C51" w:rsidRPr="00744FC2">
          <w:rPr>
            <w:rStyle w:val="Hyperlink"/>
            <w:noProof/>
          </w:rPr>
          <w:t>Capacity calculation method per border</w:t>
        </w:r>
        <w:r w:rsidR="00844C51">
          <w:rPr>
            <w:noProof/>
            <w:webHidden/>
          </w:rPr>
          <w:tab/>
        </w:r>
        <w:r w:rsidR="00844C51">
          <w:rPr>
            <w:noProof/>
            <w:webHidden/>
          </w:rPr>
          <w:fldChar w:fldCharType="begin"/>
        </w:r>
        <w:r w:rsidR="00844C51">
          <w:rPr>
            <w:noProof/>
            <w:webHidden/>
          </w:rPr>
          <w:instrText xml:space="preserve"> PAGEREF _Toc120696723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4C0D72E3" w14:textId="1C6EA727" w:rsidR="00844C51" w:rsidRDefault="00000000">
      <w:pPr>
        <w:pStyle w:val="TOC2"/>
        <w:rPr>
          <w:rFonts w:asciiTheme="minorHAnsi" w:eastAsiaTheme="minorEastAsia" w:hAnsiTheme="minorHAnsi"/>
          <w:noProof/>
          <w:lang w:val="en-US"/>
        </w:rPr>
      </w:pPr>
      <w:hyperlink w:anchor="_Toc120696724" w:history="1">
        <w:r w:rsidR="00844C51" w:rsidRPr="00744FC2">
          <w:rPr>
            <w:rStyle w:val="Hyperlink"/>
            <w:noProof/>
            <w14:scene3d>
              <w14:camera w14:prst="orthographicFront"/>
              <w14:lightRig w14:rig="threePt" w14:dir="t">
                <w14:rot w14:lat="0" w14:lon="0" w14:rev="0"/>
              </w14:lightRig>
            </w14:scene3d>
          </w:rPr>
          <w:t>5.2</w:t>
        </w:r>
        <w:r w:rsidR="00844C51">
          <w:rPr>
            <w:rFonts w:asciiTheme="minorHAnsi" w:eastAsiaTheme="minorEastAsia" w:hAnsiTheme="minorHAnsi"/>
            <w:noProof/>
            <w:lang w:val="en-US"/>
          </w:rPr>
          <w:tab/>
        </w:r>
        <w:r w:rsidR="00844C51" w:rsidRPr="00744FC2">
          <w:rPr>
            <w:rStyle w:val="Hyperlink"/>
            <w:noProof/>
          </w:rPr>
          <w:t>List of action plans and derogations for the target year considered pursuant to IEM regulation</w:t>
        </w:r>
        <w:r w:rsidR="00844C51">
          <w:rPr>
            <w:noProof/>
            <w:webHidden/>
          </w:rPr>
          <w:tab/>
        </w:r>
        <w:r w:rsidR="00844C51">
          <w:rPr>
            <w:noProof/>
            <w:webHidden/>
          </w:rPr>
          <w:fldChar w:fldCharType="begin"/>
        </w:r>
        <w:r w:rsidR="00844C51">
          <w:rPr>
            <w:noProof/>
            <w:webHidden/>
          </w:rPr>
          <w:instrText xml:space="preserve"> PAGEREF _Toc120696724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3AFD4AA1" w14:textId="4F1D7033" w:rsidR="00844C51" w:rsidRDefault="00000000">
      <w:pPr>
        <w:pStyle w:val="TOC2"/>
        <w:rPr>
          <w:rFonts w:asciiTheme="minorHAnsi" w:eastAsiaTheme="minorEastAsia" w:hAnsiTheme="minorHAnsi"/>
          <w:noProof/>
          <w:lang w:val="en-US"/>
        </w:rPr>
      </w:pPr>
      <w:hyperlink w:anchor="_Toc120696725" w:history="1">
        <w:r w:rsidR="00844C51" w:rsidRPr="00744FC2">
          <w:rPr>
            <w:rStyle w:val="Hyperlink"/>
            <w:noProof/>
            <w14:scene3d>
              <w14:camera w14:prst="orthographicFront"/>
              <w14:lightRig w14:rig="threePt" w14:dir="t">
                <w14:rot w14:lat="0" w14:lon="0" w14:rev="0"/>
              </w14:lightRig>
            </w14:scene3d>
          </w:rPr>
          <w:t>5.3</w:t>
        </w:r>
        <w:r w:rsidR="00844C51">
          <w:rPr>
            <w:rFonts w:asciiTheme="minorHAnsi" w:eastAsiaTheme="minorEastAsia" w:hAnsiTheme="minorHAnsi"/>
            <w:noProof/>
            <w:lang w:val="en-US"/>
          </w:rPr>
          <w:tab/>
        </w:r>
        <w:r w:rsidR="00844C51" w:rsidRPr="00744FC2">
          <w:rPr>
            <w:rStyle w:val="Hyperlink"/>
            <w:noProof/>
          </w:rPr>
          <w:t>Average FRM over all CNECs, per BZ</w:t>
        </w:r>
        <w:r w:rsidR="00844C51">
          <w:rPr>
            <w:noProof/>
            <w:webHidden/>
          </w:rPr>
          <w:tab/>
        </w:r>
        <w:r w:rsidR="00844C51">
          <w:rPr>
            <w:noProof/>
            <w:webHidden/>
          </w:rPr>
          <w:fldChar w:fldCharType="begin"/>
        </w:r>
        <w:r w:rsidR="00844C51">
          <w:rPr>
            <w:noProof/>
            <w:webHidden/>
          </w:rPr>
          <w:instrText xml:space="preserve"> PAGEREF _Toc120696725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2224C600" w14:textId="67B42ACF" w:rsidR="00844C51" w:rsidRDefault="00000000">
      <w:pPr>
        <w:pStyle w:val="TOC2"/>
        <w:rPr>
          <w:rFonts w:asciiTheme="minorHAnsi" w:eastAsiaTheme="minorEastAsia" w:hAnsiTheme="minorHAnsi"/>
          <w:noProof/>
          <w:lang w:val="en-US"/>
        </w:rPr>
      </w:pPr>
      <w:hyperlink w:anchor="_Toc120696726" w:history="1">
        <w:r w:rsidR="00844C51" w:rsidRPr="00744FC2">
          <w:rPr>
            <w:rStyle w:val="Hyperlink"/>
            <w:noProof/>
            <w14:scene3d>
              <w14:camera w14:prst="orthographicFront"/>
              <w14:lightRig w14:rig="threePt" w14:dir="t">
                <w14:rot w14:lat="0" w14:lon="0" w14:rev="0"/>
              </w14:lightRig>
            </w14:scene3d>
          </w:rPr>
          <w:t>5.4</w:t>
        </w:r>
        <w:r w:rsidR="00844C51">
          <w:rPr>
            <w:rFonts w:asciiTheme="minorHAnsi" w:eastAsiaTheme="minorEastAsia" w:hAnsiTheme="minorHAnsi"/>
            <w:noProof/>
            <w:lang w:val="en-US"/>
          </w:rPr>
          <w:tab/>
        </w:r>
        <w:r w:rsidR="00844C51" w:rsidRPr="00744FC2">
          <w:rPr>
            <w:rStyle w:val="Hyperlink"/>
            <w:noProof/>
          </w:rPr>
          <w:t>PTDF threshold used by each TSO and, if different from default value, why the adopted threshold better reflects an economic efficiency analysis.</w:t>
        </w:r>
        <w:r w:rsidR="00844C51">
          <w:rPr>
            <w:noProof/>
            <w:webHidden/>
          </w:rPr>
          <w:tab/>
        </w:r>
        <w:r w:rsidR="00844C51">
          <w:rPr>
            <w:noProof/>
            <w:webHidden/>
          </w:rPr>
          <w:fldChar w:fldCharType="begin"/>
        </w:r>
        <w:r w:rsidR="00844C51">
          <w:rPr>
            <w:noProof/>
            <w:webHidden/>
          </w:rPr>
          <w:instrText xml:space="preserve"> PAGEREF _Toc120696726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77CCBAB9" w14:textId="43B1A13E" w:rsidR="00844C51" w:rsidRDefault="00000000">
      <w:pPr>
        <w:pStyle w:val="TOC2"/>
        <w:rPr>
          <w:rFonts w:asciiTheme="minorHAnsi" w:eastAsiaTheme="minorEastAsia" w:hAnsiTheme="minorHAnsi"/>
          <w:noProof/>
          <w:lang w:val="en-US"/>
        </w:rPr>
      </w:pPr>
      <w:hyperlink w:anchor="_Toc120696727" w:history="1">
        <w:r w:rsidR="00844C51" w:rsidRPr="00744FC2">
          <w:rPr>
            <w:rStyle w:val="Hyperlink"/>
            <w:noProof/>
            <w14:scene3d>
              <w14:camera w14:prst="orthographicFront"/>
              <w14:lightRig w14:rig="threePt" w14:dir="t">
                <w14:rot w14:lat="0" w14:lon="0" w14:rev="0"/>
              </w14:lightRig>
            </w14:scene3d>
          </w:rPr>
          <w:t>5.5</w:t>
        </w:r>
        <w:r w:rsidR="00844C51">
          <w:rPr>
            <w:rFonts w:asciiTheme="minorHAnsi" w:eastAsiaTheme="minorEastAsia" w:hAnsiTheme="minorHAnsi"/>
            <w:noProof/>
            <w:lang w:val="en-US"/>
          </w:rPr>
          <w:tab/>
        </w:r>
        <w:r w:rsidR="00844C51" w:rsidRPr="00744FC2">
          <w:rPr>
            <w:rStyle w:val="Hyperlink"/>
            <w:noProof/>
          </w:rPr>
          <w:t>Allocation constraint per border/BZ.</w:t>
        </w:r>
        <w:r w:rsidR="00844C51">
          <w:rPr>
            <w:noProof/>
            <w:webHidden/>
          </w:rPr>
          <w:tab/>
        </w:r>
        <w:r w:rsidR="00844C51">
          <w:rPr>
            <w:noProof/>
            <w:webHidden/>
          </w:rPr>
          <w:fldChar w:fldCharType="begin"/>
        </w:r>
        <w:r w:rsidR="00844C51">
          <w:rPr>
            <w:noProof/>
            <w:webHidden/>
          </w:rPr>
          <w:instrText xml:space="preserve"> PAGEREF _Toc120696727 \h </w:instrText>
        </w:r>
        <w:r w:rsidR="00844C51">
          <w:rPr>
            <w:noProof/>
            <w:webHidden/>
          </w:rPr>
        </w:r>
        <w:r w:rsidR="00844C51">
          <w:rPr>
            <w:noProof/>
            <w:webHidden/>
          </w:rPr>
          <w:fldChar w:fldCharType="separate"/>
        </w:r>
        <w:r w:rsidR="0056126B">
          <w:rPr>
            <w:noProof/>
            <w:webHidden/>
          </w:rPr>
          <w:t>14</w:t>
        </w:r>
        <w:r w:rsidR="00844C51">
          <w:rPr>
            <w:noProof/>
            <w:webHidden/>
          </w:rPr>
          <w:fldChar w:fldCharType="end"/>
        </w:r>
      </w:hyperlink>
    </w:p>
    <w:p w14:paraId="04244B6A" w14:textId="259E5547" w:rsidR="00844C51" w:rsidRDefault="00000000">
      <w:pPr>
        <w:pStyle w:val="TOC1"/>
        <w:rPr>
          <w:rFonts w:asciiTheme="minorHAnsi" w:eastAsiaTheme="minorEastAsia" w:hAnsiTheme="minorHAnsi"/>
          <w:noProof/>
          <w:lang w:val="en-US"/>
        </w:rPr>
      </w:pPr>
      <w:hyperlink w:anchor="_Toc120696728" w:history="1">
        <w:r w:rsidR="00844C51" w:rsidRPr="00744FC2">
          <w:rPr>
            <w:rStyle w:val="Hyperlink"/>
            <w:noProof/>
          </w:rPr>
          <w:t>6)</w:t>
        </w:r>
        <w:r w:rsidR="00844C51">
          <w:rPr>
            <w:rFonts w:asciiTheme="minorHAnsi" w:eastAsiaTheme="minorEastAsia" w:hAnsiTheme="minorHAnsi"/>
            <w:noProof/>
            <w:lang w:val="en-US"/>
          </w:rPr>
          <w:tab/>
        </w:r>
        <w:r w:rsidR="00844C51" w:rsidRPr="00744FC2">
          <w:rPr>
            <w:rStyle w:val="Hyperlink"/>
            <w:noProof/>
          </w:rPr>
          <w:t>Miscellaneous</w:t>
        </w:r>
        <w:r w:rsidR="00844C51">
          <w:rPr>
            <w:noProof/>
            <w:webHidden/>
          </w:rPr>
          <w:tab/>
        </w:r>
        <w:r w:rsidR="00844C51">
          <w:rPr>
            <w:noProof/>
            <w:webHidden/>
          </w:rPr>
          <w:fldChar w:fldCharType="begin"/>
        </w:r>
        <w:r w:rsidR="00844C51">
          <w:rPr>
            <w:noProof/>
            <w:webHidden/>
          </w:rPr>
          <w:instrText xml:space="preserve"> PAGEREF _Toc120696728 \h </w:instrText>
        </w:r>
        <w:r w:rsidR="00844C51">
          <w:rPr>
            <w:noProof/>
            <w:webHidden/>
          </w:rPr>
        </w:r>
        <w:r w:rsidR="00844C51">
          <w:rPr>
            <w:noProof/>
            <w:webHidden/>
          </w:rPr>
          <w:fldChar w:fldCharType="separate"/>
        </w:r>
        <w:r w:rsidR="0056126B">
          <w:rPr>
            <w:noProof/>
            <w:webHidden/>
          </w:rPr>
          <w:t>15</w:t>
        </w:r>
        <w:r w:rsidR="00844C51">
          <w:rPr>
            <w:noProof/>
            <w:webHidden/>
          </w:rPr>
          <w:fldChar w:fldCharType="end"/>
        </w:r>
      </w:hyperlink>
    </w:p>
    <w:p w14:paraId="7F6DCCE3" w14:textId="44A148D0" w:rsidR="00844C51" w:rsidRDefault="00000000">
      <w:pPr>
        <w:pStyle w:val="TOC2"/>
        <w:rPr>
          <w:rFonts w:asciiTheme="minorHAnsi" w:eastAsiaTheme="minorEastAsia" w:hAnsiTheme="minorHAnsi"/>
          <w:noProof/>
          <w:lang w:val="en-US"/>
        </w:rPr>
      </w:pPr>
      <w:hyperlink w:anchor="_Toc120696729" w:history="1">
        <w:r w:rsidR="00844C51" w:rsidRPr="00744FC2">
          <w:rPr>
            <w:rStyle w:val="Hyperlink"/>
            <w:noProof/>
            <w14:scene3d>
              <w14:camera w14:prst="orthographicFront"/>
              <w14:lightRig w14:rig="threePt" w14:dir="t">
                <w14:rot w14:lat="0" w14:lon="0" w14:rev="0"/>
              </w14:lightRig>
            </w14:scene3d>
          </w:rPr>
          <w:t>6.1</w:t>
        </w:r>
        <w:r w:rsidR="00844C51">
          <w:rPr>
            <w:rFonts w:asciiTheme="minorHAnsi" w:eastAsiaTheme="minorEastAsia" w:hAnsiTheme="minorHAnsi"/>
            <w:noProof/>
            <w:lang w:val="en-US"/>
          </w:rPr>
          <w:tab/>
        </w:r>
        <w:r w:rsidR="00844C51" w:rsidRPr="00744FC2">
          <w:rPr>
            <w:rStyle w:val="Hyperlink"/>
            <w:noProof/>
          </w:rPr>
          <w:t>List and brief description of the main characteristics of the modelling tools used for the analysis</w:t>
        </w:r>
        <w:r w:rsidR="00844C51">
          <w:rPr>
            <w:noProof/>
            <w:webHidden/>
          </w:rPr>
          <w:tab/>
        </w:r>
        <w:r w:rsidR="00844C51">
          <w:rPr>
            <w:noProof/>
            <w:webHidden/>
          </w:rPr>
          <w:fldChar w:fldCharType="begin"/>
        </w:r>
        <w:r w:rsidR="00844C51">
          <w:rPr>
            <w:noProof/>
            <w:webHidden/>
          </w:rPr>
          <w:instrText xml:space="preserve"> PAGEREF _Toc120696729 \h </w:instrText>
        </w:r>
        <w:r w:rsidR="00844C51">
          <w:rPr>
            <w:noProof/>
            <w:webHidden/>
          </w:rPr>
        </w:r>
        <w:r w:rsidR="00844C51">
          <w:rPr>
            <w:noProof/>
            <w:webHidden/>
          </w:rPr>
          <w:fldChar w:fldCharType="separate"/>
        </w:r>
        <w:r w:rsidR="0056126B">
          <w:rPr>
            <w:noProof/>
            <w:webHidden/>
          </w:rPr>
          <w:t>15</w:t>
        </w:r>
        <w:r w:rsidR="00844C51">
          <w:rPr>
            <w:noProof/>
            <w:webHidden/>
          </w:rPr>
          <w:fldChar w:fldCharType="end"/>
        </w:r>
      </w:hyperlink>
    </w:p>
    <w:p w14:paraId="325A2730" w14:textId="304B3276" w:rsidR="00844C51" w:rsidRDefault="00000000">
      <w:pPr>
        <w:pStyle w:val="TOC2"/>
        <w:rPr>
          <w:rFonts w:asciiTheme="minorHAnsi" w:eastAsiaTheme="minorEastAsia" w:hAnsiTheme="minorHAnsi"/>
          <w:noProof/>
          <w:lang w:val="en-US"/>
        </w:rPr>
      </w:pPr>
      <w:hyperlink w:anchor="_Toc120696730" w:history="1">
        <w:r w:rsidR="00844C51" w:rsidRPr="00744FC2">
          <w:rPr>
            <w:rStyle w:val="Hyperlink"/>
            <w:noProof/>
            <w14:scene3d>
              <w14:camera w14:prst="orthographicFront"/>
              <w14:lightRig w14:rig="threePt" w14:dir="t">
                <w14:rot w14:lat="0" w14:lon="0" w14:rev="0"/>
              </w14:lightRig>
            </w14:scene3d>
          </w:rPr>
          <w:t>6.2</w:t>
        </w:r>
        <w:r w:rsidR="00844C51">
          <w:rPr>
            <w:rFonts w:asciiTheme="minorHAnsi" w:eastAsiaTheme="minorEastAsia" w:hAnsiTheme="minorHAnsi"/>
            <w:noProof/>
            <w:lang w:val="en-US"/>
          </w:rPr>
          <w:tab/>
        </w:r>
        <w:r w:rsidR="00844C51" w:rsidRPr="00744FC2">
          <w:rPr>
            <w:rStyle w:val="Hyperlink"/>
            <w:noProof/>
          </w:rPr>
          <w:t>All other assumptions and parameters set at pan-European or BZRR level with an impact on the results of the BZR</w:t>
        </w:r>
        <w:r w:rsidR="00844C51">
          <w:rPr>
            <w:noProof/>
            <w:webHidden/>
          </w:rPr>
          <w:tab/>
        </w:r>
        <w:r w:rsidR="00844C51">
          <w:rPr>
            <w:noProof/>
            <w:webHidden/>
          </w:rPr>
          <w:fldChar w:fldCharType="begin"/>
        </w:r>
        <w:r w:rsidR="00844C51">
          <w:rPr>
            <w:noProof/>
            <w:webHidden/>
          </w:rPr>
          <w:instrText xml:space="preserve"> PAGEREF _Toc120696730 \h </w:instrText>
        </w:r>
        <w:r w:rsidR="00844C51">
          <w:rPr>
            <w:noProof/>
            <w:webHidden/>
          </w:rPr>
        </w:r>
        <w:r w:rsidR="00844C51">
          <w:rPr>
            <w:noProof/>
            <w:webHidden/>
          </w:rPr>
          <w:fldChar w:fldCharType="separate"/>
        </w:r>
        <w:r w:rsidR="0056126B">
          <w:rPr>
            <w:noProof/>
            <w:webHidden/>
          </w:rPr>
          <w:t>15</w:t>
        </w:r>
        <w:r w:rsidR="00844C51">
          <w:rPr>
            <w:noProof/>
            <w:webHidden/>
          </w:rPr>
          <w:fldChar w:fldCharType="end"/>
        </w:r>
      </w:hyperlink>
    </w:p>
    <w:p w14:paraId="22ACAD86" w14:textId="4D205D47" w:rsidR="46E9B0E2" w:rsidRDefault="46E9B0E2" w:rsidP="46E9B0E2">
      <w:pPr>
        <w:pStyle w:val="TOC2"/>
        <w:tabs>
          <w:tab w:val="clear" w:pos="9062"/>
          <w:tab w:val="left" w:pos="660"/>
          <w:tab w:val="right" w:leader="dot" w:pos="9060"/>
        </w:tabs>
        <w:rPr>
          <w:rFonts w:eastAsia="Calibri" w:cs="Arial"/>
        </w:rPr>
      </w:pPr>
      <w:r>
        <w:fldChar w:fldCharType="end"/>
      </w:r>
    </w:p>
    <w:p w14:paraId="71DF225C" w14:textId="0E12F1AB" w:rsidR="00C06378" w:rsidRPr="00AC3516" w:rsidRDefault="00C06378" w:rsidP="0F563A2D">
      <w:pPr>
        <w:jc w:val="both"/>
        <w:rPr>
          <w:rFonts w:asciiTheme="minorHAnsi" w:hAnsiTheme="minorHAnsi"/>
        </w:rPr>
      </w:pPr>
    </w:p>
    <w:p w14:paraId="642D5623" w14:textId="3A4E6803" w:rsidR="009B2FE3" w:rsidRPr="006E1E69" w:rsidRDefault="009B2FE3">
      <w:pPr>
        <w:rPr>
          <w:rFonts w:cs="Arial"/>
        </w:rPr>
      </w:pPr>
      <w:r w:rsidRPr="0F563A2D">
        <w:rPr>
          <w:rFonts w:cs="Arial"/>
        </w:rPr>
        <w:br w:type="page"/>
      </w:r>
    </w:p>
    <w:p w14:paraId="3D95AEDC" w14:textId="2ED8D1C3" w:rsidR="00101859" w:rsidRPr="006E1E69" w:rsidRDefault="79A94E0C" w:rsidP="79A94E0C">
      <w:pPr>
        <w:pStyle w:val="Heading1"/>
      </w:pPr>
      <w:bookmarkStart w:id="0" w:name="_Toc120696692"/>
      <w:r>
        <w:lastRenderedPageBreak/>
        <w:t>Scenario</w:t>
      </w:r>
      <w:bookmarkStart w:id="1" w:name="_Toc115968248"/>
      <w:bookmarkStart w:id="2" w:name="_Toc115995514"/>
      <w:bookmarkStart w:id="3" w:name="_Toc115995621"/>
      <w:bookmarkStart w:id="4" w:name="_Toc115995676"/>
      <w:bookmarkStart w:id="5" w:name="_Toc115995906"/>
      <w:bookmarkStart w:id="6" w:name="_Toc118274914"/>
      <w:bookmarkStart w:id="7" w:name="_Toc118282808"/>
      <w:bookmarkStart w:id="8" w:name="_Toc119592589"/>
      <w:bookmarkEnd w:id="0"/>
      <w:bookmarkEnd w:id="1"/>
      <w:bookmarkEnd w:id="2"/>
      <w:bookmarkEnd w:id="3"/>
      <w:bookmarkEnd w:id="4"/>
      <w:bookmarkEnd w:id="5"/>
      <w:bookmarkEnd w:id="6"/>
      <w:bookmarkEnd w:id="7"/>
      <w:bookmarkEnd w:id="8"/>
    </w:p>
    <w:p w14:paraId="5502BD61" w14:textId="1F364BB1" w:rsidR="00E225EC" w:rsidRPr="006E1E69" w:rsidRDefault="46E9B0E2" w:rsidP="69FB92E5">
      <w:pPr>
        <w:pStyle w:val="Heading2"/>
      </w:pPr>
      <w:bookmarkStart w:id="9" w:name="_Toc115995515"/>
      <w:bookmarkStart w:id="10" w:name="_Toc119592590"/>
      <w:bookmarkStart w:id="11" w:name="_Toc120696693"/>
      <w:r>
        <w:t>List of all climate years used as a basis for the study.</w:t>
      </w:r>
      <w:bookmarkEnd w:id="9"/>
      <w:bookmarkEnd w:id="10"/>
      <w:bookmarkEnd w:id="11"/>
    </w:p>
    <w:p w14:paraId="4CF6259C" w14:textId="5D1DFA3B" w:rsidR="39E2E9C8" w:rsidRDefault="162F86FE" w:rsidP="162F86FE">
      <w:pPr>
        <w:rPr>
          <w:rFonts w:eastAsia="Arial" w:cs="Arial"/>
        </w:rPr>
      </w:pPr>
      <w:r w:rsidRPr="162F86FE">
        <w:rPr>
          <w:rFonts w:eastAsia="Calibri" w:cs="Arial"/>
        </w:rPr>
        <w:t>For the BZR analysis same climate years as for LMP study; 1989, 1995 and 2009</w:t>
      </w:r>
      <w:r w:rsidR="000C73EE">
        <w:rPr>
          <w:rFonts w:eastAsia="Calibri" w:cs="Arial"/>
        </w:rPr>
        <w:t xml:space="preserve"> will be used. </w:t>
      </w:r>
      <w:r w:rsidRPr="162F86FE">
        <w:rPr>
          <w:rFonts w:eastAsia="Arial" w:cs="Arial"/>
        </w:rPr>
        <w:t>These years do not represent the full spread of variability for the Nordic system, but the advantage of using the same climate years for all BZR regions is considered more important and is also a requirement of the ACER methodology. For more information, please see Chapter 1.2 and Chapter 3.11 of</w:t>
      </w:r>
      <w:hyperlink r:id="rId11" w:history="1">
        <w:r w:rsidRPr="00CF19E8">
          <w:rPr>
            <w:rStyle w:val="Hyperlink"/>
            <w:rFonts w:eastAsia="Arial" w:cs="Arial"/>
          </w:rPr>
          <w:t xml:space="preserve"> </w:t>
        </w:r>
        <w:proofErr w:type="spellStart"/>
        <w:r w:rsidRPr="00CF19E8">
          <w:rPr>
            <w:rStyle w:val="Hyperlink"/>
            <w:rFonts w:eastAsia="Arial" w:cs="Arial"/>
          </w:rPr>
          <w:t>Entso-E</w:t>
        </w:r>
        <w:proofErr w:type="spellEnd"/>
        <w:r w:rsidRPr="00CF19E8">
          <w:rPr>
            <w:rStyle w:val="Hyperlink"/>
            <w:rFonts w:eastAsia="Arial" w:cs="Arial"/>
          </w:rPr>
          <w:t xml:space="preserve"> report on the Locational Marginal Pricing study of the Bidding Zone Review Process</w:t>
        </w:r>
      </w:hyperlink>
      <w:r w:rsidR="00CF19E8">
        <w:rPr>
          <w:rFonts w:eastAsia="Arial" w:cs="Arial"/>
        </w:rPr>
        <w:t>.</w:t>
      </w:r>
    </w:p>
    <w:p w14:paraId="0BC7CAB1" w14:textId="5AF12963" w:rsidR="00E225EC" w:rsidRDefault="46E9B0E2" w:rsidP="007B48B4">
      <w:pPr>
        <w:pStyle w:val="Heading2"/>
      </w:pPr>
      <w:bookmarkStart w:id="12" w:name="_Toc115995516"/>
      <w:bookmarkStart w:id="13" w:name="_Toc119592591"/>
      <w:bookmarkStart w:id="14" w:name="_Toc120696694"/>
      <w:r>
        <w:t>Description of the sensitivities used to complement the scenario of the ‘main study’.</w:t>
      </w:r>
      <w:bookmarkEnd w:id="12"/>
      <w:bookmarkEnd w:id="13"/>
      <w:bookmarkEnd w:id="14"/>
    </w:p>
    <w:p w14:paraId="36269B51" w14:textId="4B270B1E" w:rsidR="39E2E9C8" w:rsidRDefault="0F563A2D" w:rsidP="39E2E9C8">
      <w:pPr>
        <w:rPr>
          <w:rFonts w:eastAsia="Calibri" w:cs="Arial"/>
        </w:rPr>
      </w:pPr>
      <w:r w:rsidRPr="0F563A2D">
        <w:rPr>
          <w:rFonts w:eastAsia="Calibri" w:cs="Arial"/>
        </w:rPr>
        <w:t>For Nordics, the sensitivity study is done for the same target year 2025 as main study, the change compared to the main scenario is changed fuel prices and excluding the fixed flow from Russia, which is included in main study.</w:t>
      </w:r>
    </w:p>
    <w:p w14:paraId="3115CFED" w14:textId="2DE0E733" w:rsidR="00E71A0F" w:rsidRPr="00E71A0F" w:rsidRDefault="46E9B0E2" w:rsidP="00E71A0F">
      <w:pPr>
        <w:pStyle w:val="Heading2"/>
      </w:pPr>
      <w:bookmarkStart w:id="15" w:name="_Toc115995517"/>
      <w:bookmarkStart w:id="16" w:name="_Toc115995909"/>
      <w:bookmarkStart w:id="17" w:name="_Toc119592592"/>
      <w:bookmarkStart w:id="18" w:name="_Toc120696695"/>
      <w:r>
        <w:t>Network model for the scenario and sensitivities</w:t>
      </w:r>
      <w:bookmarkEnd w:id="15"/>
      <w:bookmarkEnd w:id="16"/>
      <w:bookmarkEnd w:id="17"/>
      <w:bookmarkEnd w:id="18"/>
    </w:p>
    <w:p w14:paraId="13144A6D" w14:textId="3FCA9BA1" w:rsidR="39E2E9C8" w:rsidRDefault="00C570F3" w:rsidP="39E2E9C8">
      <w:pPr>
        <w:rPr>
          <w:rFonts w:eastAsia="Calibri" w:cs="Arial"/>
        </w:rPr>
      </w:pPr>
      <w:r>
        <w:rPr>
          <w:rFonts w:cs="Arial"/>
          <w:color w:val="000000"/>
          <w:shd w:val="clear" w:color="auto" w:fill="FFFFFF"/>
        </w:rPr>
        <w:t>The network model is the same as used in the LMP study.</w:t>
      </w:r>
      <w:r w:rsidRPr="0F563A2D">
        <w:rPr>
          <w:rFonts w:eastAsia="Arial" w:cs="Arial"/>
        </w:rPr>
        <w:t xml:space="preserve"> </w:t>
      </w:r>
      <w:r w:rsidR="0F563A2D" w:rsidRPr="0F563A2D">
        <w:rPr>
          <w:rFonts w:eastAsia="Arial" w:cs="Arial"/>
        </w:rPr>
        <w:t xml:space="preserve">The </w:t>
      </w:r>
      <w:r>
        <w:rPr>
          <w:rFonts w:eastAsia="Arial" w:cs="Arial"/>
        </w:rPr>
        <w:t>network</w:t>
      </w:r>
      <w:r w:rsidR="0F563A2D" w:rsidRPr="0F563A2D">
        <w:rPr>
          <w:rFonts w:eastAsia="Arial" w:cs="Arial"/>
        </w:rPr>
        <w:t xml:space="preserve"> model used as a basis for the Nordic BZR study is the common Nordic planning model in PSSE which is converted to main tool to conduct the study (BID3). PSSE is a power system model for power flow calculations and dynamic simulations used by all Nordic TSOs. The model includes the transmission grid for all the Nordic countries from 420 kV to 50 kV, as well as interconnectors to countries outside the region. The Nordic planning model represents the current power system in the region. For prospective studies, relevant changes are made to the grid, generation and consumption to reflect the future power system. The model was updated to reflect the Nordic power system in mid-2025. The study will be performed for an intact grid adding N-1 restrictions. The model will be run on a so-called transmission hub level for the BZR calculations. That is, all nodes are assigned to the electrically closest transmission hub (≥ 220 kV), and all the constraints within a transmission hub were relaxed. The full grid is still modelled, but internal constraints within each hub are disregarded. Lines crossing between hubs, regardless of voltage level, are considered and can be included in multi-line constraints. </w:t>
      </w:r>
      <w:r w:rsidR="0F563A2D" w:rsidRPr="0F563A2D">
        <w:rPr>
          <w:rFonts w:eastAsia="Calibri" w:cs="Arial"/>
        </w:rPr>
        <w:t xml:space="preserve"> </w:t>
      </w:r>
    </w:p>
    <w:p w14:paraId="7FCFCB2E" w14:textId="7748D8CD" w:rsidR="39E2E9C8" w:rsidRDefault="0F563A2D" w:rsidP="39E2E9C8">
      <w:pPr>
        <w:rPr>
          <w:rFonts w:eastAsia="Calibri" w:cs="Arial"/>
        </w:rPr>
      </w:pPr>
      <w:r w:rsidRPr="0F563A2D">
        <w:rPr>
          <w:rFonts w:eastAsia="Calibri" w:cs="Arial"/>
        </w:rPr>
        <w:t xml:space="preserve">Nordic TSOs have done the following improvements in the way modelling is done in BZR in comparison with the LMP- study. However, these do not pose changes to the topology of the network model used in LMP: </w:t>
      </w:r>
    </w:p>
    <w:p w14:paraId="64C5723A" w14:textId="7C3114F4" w:rsidR="39E2E9C8" w:rsidRDefault="0F563A2D" w:rsidP="39E2E9C8">
      <w:pPr>
        <w:pStyle w:val="ListParagraph"/>
        <w:numPr>
          <w:ilvl w:val="0"/>
          <w:numId w:val="2"/>
        </w:numPr>
      </w:pPr>
      <w:r w:rsidRPr="0F563A2D">
        <w:rPr>
          <w:rFonts w:eastAsia="Calibri" w:cs="Arial"/>
        </w:rPr>
        <w:t>In the BZR the line between Finland and northern Norway will be modelled in BID3 as closed. In the LMP study this line was missing. This connection can be either open or closed based on the operational situation, and for the LMP modelling the connection was kept accidently open.  However, as the connection continues in Norwegian side with lower voltage level than 220 kV, this change does not imply changes to network model provided with voltage level 220 kV and over, but as also the lower voltage levels are modelled in BID3, we expect to have some exchange between FI and NO4 in the final results. However, as the connection capacity is small, we do not expect this change to have any significant change compared to LMP study.</w:t>
      </w:r>
    </w:p>
    <w:p w14:paraId="30C3FE30" w14:textId="20DF3175" w:rsidR="39E2E9C8" w:rsidRDefault="1B2DB5FE" w:rsidP="39E2E9C8">
      <w:pPr>
        <w:pStyle w:val="ListParagraph"/>
        <w:numPr>
          <w:ilvl w:val="0"/>
          <w:numId w:val="2"/>
        </w:numPr>
      </w:pPr>
      <w:r w:rsidRPr="1B2DB5FE">
        <w:rPr>
          <w:rFonts w:eastAsia="Calibri" w:cs="Arial"/>
        </w:rPr>
        <w:t xml:space="preserve">The operational rules for the South West Link in Sweden have been implemented, because some errors were found in the flows.  </w:t>
      </w:r>
    </w:p>
    <w:p w14:paraId="6A93DBF0" w14:textId="26F8C27A" w:rsidR="39E2E9C8" w:rsidRDefault="7310AB4F" w:rsidP="39E2E9C8">
      <w:pPr>
        <w:rPr>
          <w:rFonts w:eastAsia="Calibri" w:cs="Arial"/>
        </w:rPr>
      </w:pPr>
      <w:r w:rsidRPr="7310AB4F">
        <w:rPr>
          <w:rFonts w:eastAsia="Calibri" w:cs="Arial"/>
        </w:rPr>
        <w:lastRenderedPageBreak/>
        <w:t>We use the same network model in BZR for the main scenario and sensitivity.</w:t>
      </w:r>
    </w:p>
    <w:p w14:paraId="407CAB0B" w14:textId="25A3D4D4" w:rsidR="7310AB4F" w:rsidRDefault="7310AB4F" w:rsidP="3287D6CA">
      <w:pPr>
        <w:rPr>
          <w:rFonts w:eastAsia="Calibri" w:cs="Arial"/>
          <w:color w:val="444444"/>
        </w:rPr>
      </w:pPr>
    </w:p>
    <w:p w14:paraId="76D2A94A" w14:textId="2CA76CF5" w:rsidR="00E225EC" w:rsidRPr="006E1E69" w:rsidRDefault="46E9B0E2" w:rsidP="007B48B4">
      <w:pPr>
        <w:pStyle w:val="Heading2"/>
      </w:pPr>
      <w:bookmarkStart w:id="19" w:name="_Toc115995520"/>
      <w:bookmarkStart w:id="20" w:name="_Toc119592595"/>
      <w:bookmarkStart w:id="21" w:name="_Toc120696696"/>
      <w:r>
        <w:t>List of additional infrastructure projects for the target year compared to the year when the BZR starts.</w:t>
      </w:r>
      <w:bookmarkEnd w:id="19"/>
      <w:bookmarkEnd w:id="20"/>
      <w:bookmarkEnd w:id="21"/>
      <w:r>
        <w:t xml:space="preserve"> </w:t>
      </w:r>
    </w:p>
    <w:p w14:paraId="692A50BF" w14:textId="48A84782" w:rsidR="35240C2F" w:rsidRDefault="79A94E0C" w:rsidP="000C73EE">
      <w:pPr>
        <w:rPr>
          <w:rFonts w:eastAsia="Calibri"/>
        </w:rPr>
      </w:pPr>
      <w:r w:rsidRPr="79A94E0C">
        <w:rPr>
          <w:rFonts w:eastAsia="Calibri" w:cs="Arial"/>
        </w:rPr>
        <w:t>Nordic TSOs have included a list of projects that are expected to be commissioned between 2020-11-01 and 2025-06-30 and therefore are included in the grid model used for simulations. The assumptions are kept same as in the LMP study. The table only include investments in Sweden, Finland and Denmark. System reinforcements/new connections are included in Table 1 and changes in production plants in Table 2</w:t>
      </w:r>
      <w:r w:rsidR="00CF19E8">
        <w:rPr>
          <w:rFonts w:eastAsia="Calibri" w:cs="Arial"/>
        </w:rPr>
        <w:t>.</w:t>
      </w:r>
    </w:p>
    <w:p w14:paraId="26BBF384" w14:textId="604E1558" w:rsidR="000C73EE" w:rsidRDefault="79A94E0C" w:rsidP="000C73EE">
      <w:pPr>
        <w:pStyle w:val="Caption"/>
        <w:keepNext/>
      </w:pPr>
      <w:proofErr w:type="spellStart"/>
      <w:r>
        <w:t>Tabel</w:t>
      </w:r>
      <w:proofErr w:type="spellEnd"/>
      <w:r>
        <w:t xml:space="preserve"> </w:t>
      </w:r>
      <w:r w:rsidR="000C73EE">
        <w:fldChar w:fldCharType="begin"/>
      </w:r>
      <w:r w:rsidR="000C73EE">
        <w:instrText xml:space="preserve"> SEQ Tabel \* ARABIC </w:instrText>
      </w:r>
      <w:r w:rsidR="000C73EE">
        <w:fldChar w:fldCharType="separate"/>
      </w:r>
      <w:r w:rsidR="0056126B">
        <w:rPr>
          <w:noProof/>
        </w:rPr>
        <w:t>1</w:t>
      </w:r>
      <w:r w:rsidR="000C73EE">
        <w:fldChar w:fldCharType="end"/>
      </w:r>
      <w:r>
        <w:t xml:space="preserve"> additional infrastructure projects included in the model</w:t>
      </w:r>
    </w:p>
    <w:p w14:paraId="1D8F3040" w14:textId="52124332" w:rsidR="35240C2F" w:rsidRDefault="35240C2F" w:rsidP="79A94E0C">
      <w:r>
        <w:rPr>
          <w:noProof/>
        </w:rPr>
        <w:drawing>
          <wp:inline distT="0" distB="0" distL="0" distR="0" wp14:anchorId="32C68136" wp14:editId="59F301B2">
            <wp:extent cx="5061098" cy="6150193"/>
            <wp:effectExtent l="0" t="0" r="6350" b="3175"/>
            <wp:docPr id="976582926" name="Picture 97658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065046" cy="6154991"/>
                    </a:xfrm>
                    <a:prstGeom prst="rect">
                      <a:avLst/>
                    </a:prstGeom>
                  </pic:spPr>
                </pic:pic>
              </a:graphicData>
            </a:graphic>
          </wp:inline>
        </w:drawing>
      </w:r>
    </w:p>
    <w:p w14:paraId="055C7D3F" w14:textId="013E15E3" w:rsidR="000C73EE" w:rsidRDefault="0F563A2D" w:rsidP="000C73EE">
      <w:pPr>
        <w:pStyle w:val="Caption"/>
        <w:keepNext/>
      </w:pPr>
      <w:proofErr w:type="spellStart"/>
      <w:r>
        <w:lastRenderedPageBreak/>
        <w:t>Tabel</w:t>
      </w:r>
      <w:proofErr w:type="spellEnd"/>
      <w:r>
        <w:t xml:space="preserve"> </w:t>
      </w:r>
      <w:r w:rsidR="000C73EE">
        <w:fldChar w:fldCharType="begin"/>
      </w:r>
      <w:r w:rsidR="000C73EE">
        <w:instrText xml:space="preserve"> SEQ Tabel \* ARABIC </w:instrText>
      </w:r>
      <w:r w:rsidR="000C73EE">
        <w:fldChar w:fldCharType="separate"/>
      </w:r>
      <w:r w:rsidR="0056126B">
        <w:rPr>
          <w:noProof/>
        </w:rPr>
        <w:t>2</w:t>
      </w:r>
      <w:r w:rsidR="000C73EE">
        <w:fldChar w:fldCharType="end"/>
      </w:r>
      <w:r>
        <w:t xml:space="preserve"> Change in production</w:t>
      </w:r>
    </w:p>
    <w:p w14:paraId="452FF3DB" w14:textId="7D13102C" w:rsidR="162F86FE" w:rsidRDefault="006C1F48" w:rsidP="162F86FE">
      <w:pPr>
        <w:rPr>
          <w:rFonts w:eastAsia="Calibri" w:cs="Arial"/>
        </w:rPr>
      </w:pPr>
      <w:r>
        <w:rPr>
          <w:noProof/>
        </w:rPr>
        <w:drawing>
          <wp:inline distT="0" distB="0" distL="0" distR="0" wp14:anchorId="587F9D4A" wp14:editId="2B21793C">
            <wp:extent cx="5760720" cy="1554480"/>
            <wp:effectExtent l="0" t="0" r="0" b="762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5760720" cy="1554480"/>
                    </a:xfrm>
                    <a:prstGeom prst="rect">
                      <a:avLst/>
                    </a:prstGeom>
                  </pic:spPr>
                </pic:pic>
              </a:graphicData>
            </a:graphic>
          </wp:inline>
        </w:drawing>
      </w:r>
    </w:p>
    <w:p w14:paraId="2E0BB52B" w14:textId="28D9A34F" w:rsidR="006E1E69" w:rsidRPr="006E1E69" w:rsidRDefault="0F563A2D" w:rsidP="39E2E9C8">
      <w:pPr>
        <w:rPr>
          <w:rFonts w:eastAsia="Calibri" w:cs="Arial"/>
        </w:rPr>
      </w:pPr>
      <w:r w:rsidRPr="0F563A2D">
        <w:rPr>
          <w:rFonts w:eastAsia="Calibri" w:cs="Arial"/>
        </w:rPr>
        <w:t>Lately in Finnish grid there is expected some small improvements due the changes with cross-over line configurations, which should provide more capacity for year 2025. These are not captured in the network model used, as congestions inside Finland were not causing significant congestions in LMP, it is assumed that that these changes would not have significant effect on the BZR study and thus the network model is not changed.</w:t>
      </w:r>
    </w:p>
    <w:p w14:paraId="4D8C838B" w14:textId="28B4C6E1" w:rsidR="009B2FE3" w:rsidRPr="006E1E69" w:rsidRDefault="46E9B0E2" w:rsidP="007B48B4">
      <w:pPr>
        <w:pStyle w:val="Heading2"/>
      </w:pPr>
      <w:bookmarkStart w:id="22" w:name="_Toc115995521"/>
      <w:bookmarkStart w:id="23" w:name="_Toc119592596"/>
      <w:bookmarkStart w:id="24" w:name="_Toc120696697"/>
      <w:r>
        <w:t>Assumptions on how different voltage levels were considered or not, per bidding zone.</w:t>
      </w:r>
      <w:bookmarkEnd w:id="22"/>
      <w:bookmarkEnd w:id="23"/>
      <w:bookmarkEnd w:id="24"/>
    </w:p>
    <w:p w14:paraId="7BDC55CD" w14:textId="3D35A268" w:rsidR="39E2E9C8" w:rsidRDefault="1B2DB5FE" w:rsidP="39E2E9C8">
      <w:pPr>
        <w:rPr>
          <w:rFonts w:eastAsia="Calibri" w:cs="Arial"/>
        </w:rPr>
      </w:pPr>
      <w:r w:rsidRPr="1B2DB5FE">
        <w:rPr>
          <w:rFonts w:eastAsia="Calibri" w:cs="Arial"/>
        </w:rPr>
        <w:t>There are operational security limits and contingencies at voltage levels below 380 kV that are important for secure operation of the power system. Therefore, the Nordic TSOs have chosen to include contingencies also on 220 kV network elements in the analysis. For information how voltage levels are considered in general in the model, please, see also Chapter 1.3.</w:t>
      </w:r>
    </w:p>
    <w:p w14:paraId="15FD1253" w14:textId="03E2146D" w:rsidR="00E02EAB" w:rsidRPr="006E1E69" w:rsidRDefault="00E02EAB" w:rsidP="69FB92E5">
      <w:pPr>
        <w:rPr>
          <w:rFonts w:cs="Arial"/>
        </w:rPr>
      </w:pPr>
    </w:p>
    <w:p w14:paraId="167FB978" w14:textId="64D71830" w:rsidR="009B2FE3" w:rsidRPr="006E1E69" w:rsidRDefault="009B2FE3">
      <w:pPr>
        <w:rPr>
          <w:rFonts w:cs="Arial"/>
        </w:rPr>
      </w:pPr>
      <w:r w:rsidRPr="0F563A2D">
        <w:rPr>
          <w:rFonts w:cs="Arial"/>
        </w:rPr>
        <w:br w:type="page"/>
      </w:r>
    </w:p>
    <w:p w14:paraId="76E9FE1A" w14:textId="435C8D3D" w:rsidR="00963CA8" w:rsidRPr="006E1E69" w:rsidRDefault="46E9B0E2" w:rsidP="00C06378">
      <w:pPr>
        <w:pStyle w:val="Heading1"/>
      </w:pPr>
      <w:bookmarkStart w:id="25" w:name="_Toc120696698"/>
      <w:r>
        <w:lastRenderedPageBreak/>
        <w:t>Generation</w:t>
      </w:r>
      <w:bookmarkStart w:id="26" w:name="_Toc115377273"/>
      <w:bookmarkStart w:id="27" w:name="_Toc115377323"/>
      <w:bookmarkStart w:id="28" w:name="_Toc115377373"/>
      <w:bookmarkStart w:id="29" w:name="_Toc115968256"/>
      <w:bookmarkStart w:id="30" w:name="_Toc115995522"/>
      <w:bookmarkStart w:id="31" w:name="_Toc115995629"/>
      <w:bookmarkStart w:id="32" w:name="_Toc115995684"/>
      <w:bookmarkStart w:id="33" w:name="_Toc115995914"/>
      <w:bookmarkStart w:id="34" w:name="_Toc118274922"/>
      <w:bookmarkStart w:id="35" w:name="_Toc118282815"/>
      <w:bookmarkStart w:id="36" w:name="_Toc119592597"/>
      <w:bookmarkEnd w:id="25"/>
      <w:bookmarkEnd w:id="26"/>
      <w:bookmarkEnd w:id="27"/>
      <w:bookmarkEnd w:id="28"/>
      <w:bookmarkEnd w:id="29"/>
      <w:bookmarkEnd w:id="30"/>
      <w:bookmarkEnd w:id="31"/>
      <w:bookmarkEnd w:id="32"/>
      <w:bookmarkEnd w:id="33"/>
      <w:bookmarkEnd w:id="34"/>
      <w:bookmarkEnd w:id="35"/>
      <w:bookmarkEnd w:id="36"/>
    </w:p>
    <w:p w14:paraId="247043CB" w14:textId="53817A25" w:rsidR="00E02EAB" w:rsidRPr="006E1E69" w:rsidRDefault="46E9B0E2" w:rsidP="007B48B4">
      <w:pPr>
        <w:pStyle w:val="Heading2"/>
      </w:pPr>
      <w:bookmarkStart w:id="37" w:name="_Toc115995523"/>
      <w:bookmarkStart w:id="38" w:name="_Toc119592598"/>
      <w:bookmarkStart w:id="39" w:name="_Toc120696699"/>
      <w:r>
        <w:t>Generation time series for weather dependent generation units</w:t>
      </w:r>
      <w:bookmarkEnd w:id="37"/>
      <w:bookmarkEnd w:id="38"/>
      <w:bookmarkEnd w:id="39"/>
    </w:p>
    <w:p w14:paraId="4DAC95F5" w14:textId="0AAF2753" w:rsidR="55E18D98" w:rsidRDefault="3287D6CA" w:rsidP="3287D6CA">
      <w:pPr>
        <w:spacing w:line="257" w:lineRule="auto"/>
        <w:rPr>
          <w:rFonts w:eastAsia="Calibri" w:cs="Arial"/>
          <w:i/>
          <w:iCs/>
        </w:rPr>
      </w:pPr>
      <w:r w:rsidRPr="3287D6CA">
        <w:rPr>
          <w:rFonts w:eastAsia="Calibri" w:cs="Arial"/>
        </w:rPr>
        <w:t>Input for hydro, solar and wind can be found from the input files published for the LMP study. Please see Input data from site:</w:t>
      </w:r>
      <w:r w:rsidRPr="3287D6CA">
        <w:rPr>
          <w:rFonts w:eastAsia="Calibri" w:cs="Arial"/>
          <w:i/>
          <w:iCs/>
        </w:rPr>
        <w:t xml:space="preserve"> </w:t>
      </w:r>
      <w:hyperlink r:id="rId14">
        <w:r w:rsidRPr="3287D6CA">
          <w:rPr>
            <w:rStyle w:val="Hyperlink"/>
            <w:rFonts w:eastAsia="Calibri" w:cs="Arial"/>
            <w:i/>
            <w:iCs/>
          </w:rPr>
          <w:t>https://www.entsoe.eu/news/2022/09/06/entso-e-publishes-locational-marginal-pricing-data-items-as-part-of-bidding-zone-review-study/.</w:t>
        </w:r>
      </w:hyperlink>
      <w:r w:rsidRPr="3287D6CA">
        <w:rPr>
          <w:rFonts w:eastAsia="Calibri" w:cs="Arial"/>
          <w:i/>
          <w:iCs/>
        </w:rPr>
        <w:t xml:space="preserve"> </w:t>
      </w:r>
      <w:r w:rsidRPr="3287D6CA">
        <w:rPr>
          <w:rFonts w:eastAsiaTheme="minorEastAsia"/>
        </w:rPr>
        <w:t xml:space="preserve">For solar and wind the granularity of data is per MTU, per </w:t>
      </w:r>
      <w:proofErr w:type="spellStart"/>
      <w:r w:rsidRPr="3287D6CA">
        <w:rPr>
          <w:rFonts w:eastAsiaTheme="minorEastAsia"/>
        </w:rPr>
        <w:t>technolgy</w:t>
      </w:r>
      <w:proofErr w:type="spellEnd"/>
      <w:r w:rsidRPr="3287D6CA">
        <w:rPr>
          <w:rFonts w:eastAsiaTheme="minorEastAsia"/>
        </w:rPr>
        <w:t xml:space="preserve"> and per climate year. Hydro values are given as weekly inflows.</w:t>
      </w:r>
    </w:p>
    <w:p w14:paraId="77FD2171" w14:textId="1624EA5E" w:rsidR="00E02EAB" w:rsidRPr="006E1E69" w:rsidRDefault="46E9B0E2" w:rsidP="007B48B4">
      <w:pPr>
        <w:pStyle w:val="Heading2"/>
      </w:pPr>
      <w:bookmarkStart w:id="40" w:name="_Toc115995524"/>
      <w:bookmarkStart w:id="41" w:name="_Toc119592599"/>
      <w:bookmarkStart w:id="42" w:name="_Toc120696700"/>
      <w:r>
        <w:t>Minimum and maximum generating capacities</w:t>
      </w:r>
      <w:bookmarkEnd w:id="40"/>
      <w:bookmarkEnd w:id="41"/>
      <w:bookmarkEnd w:id="42"/>
    </w:p>
    <w:p w14:paraId="37AC8BC1" w14:textId="40170709" w:rsidR="55E18D98" w:rsidRDefault="3287D6CA" w:rsidP="3287D6CA">
      <w:pPr>
        <w:spacing w:line="257" w:lineRule="auto"/>
        <w:rPr>
          <w:rFonts w:eastAsia="Calibri" w:cs="Arial"/>
          <w:i/>
          <w:iCs/>
        </w:rPr>
      </w:pPr>
      <w:r w:rsidRPr="3287D6CA">
        <w:rPr>
          <w:rFonts w:eastAsia="Calibri" w:cs="Arial"/>
        </w:rPr>
        <w:t>Maximum generating capacities are given in the input files published for the LMP study. The minimum generating capacities are provided as minimum stable power for thermal plants. Please see Input data from site:</w:t>
      </w:r>
      <w:r w:rsidRPr="3287D6CA">
        <w:rPr>
          <w:rFonts w:eastAsia="Calibri" w:cs="Arial"/>
          <w:i/>
          <w:iCs/>
        </w:rPr>
        <w:t xml:space="preserve"> </w:t>
      </w:r>
      <w:hyperlink r:id="rId15" w:history="1">
        <w:r w:rsidRPr="3287D6CA">
          <w:rPr>
            <w:rStyle w:val="Hyperlink"/>
            <w:rFonts w:eastAsia="Calibri" w:cs="Arial"/>
            <w:i/>
            <w:iCs/>
          </w:rPr>
          <w:t>https://www.entsoe.eu/news/2022/09/06/entso-e-publishes-locational-marginal-pricing-data-items-as-part-of-bidding-zone-review-study/</w:t>
        </w:r>
      </w:hyperlink>
      <w:r w:rsidRPr="3287D6CA">
        <w:rPr>
          <w:rFonts w:eastAsia="Calibri" w:cs="Arial"/>
        </w:rPr>
        <w:t>. Granularity of data is per technology.</w:t>
      </w:r>
    </w:p>
    <w:p w14:paraId="19E631BE" w14:textId="012DF8BD" w:rsidR="00E02EAB" w:rsidRPr="006E1E69" w:rsidRDefault="46E9B0E2" w:rsidP="007B48B4">
      <w:pPr>
        <w:pStyle w:val="Heading2"/>
      </w:pPr>
      <w:bookmarkStart w:id="43" w:name="_Toc115995525"/>
      <w:bookmarkStart w:id="44" w:name="_Toc119592600"/>
      <w:bookmarkStart w:id="45" w:name="_Toc120696701"/>
      <w:r>
        <w:t>Must run constraints</w:t>
      </w:r>
      <w:bookmarkEnd w:id="43"/>
      <w:bookmarkEnd w:id="44"/>
      <w:bookmarkEnd w:id="45"/>
    </w:p>
    <w:p w14:paraId="6C37F41D" w14:textId="6DAE5EC6" w:rsidR="55E18D98" w:rsidRDefault="3287D6CA" w:rsidP="3287D6CA">
      <w:pPr>
        <w:spacing w:line="257" w:lineRule="auto"/>
        <w:rPr>
          <w:rFonts w:eastAsia="Calibri" w:cs="Arial"/>
          <w:i/>
          <w:iCs/>
        </w:rPr>
      </w:pPr>
      <w:r w:rsidRPr="3287D6CA">
        <w:rPr>
          <w:rFonts w:eastAsia="Arial" w:cs="Arial"/>
        </w:rPr>
        <w:t xml:space="preserve">Must run constraints are provided for thermal plants in the input files published for the LMP study. Please see input data from site: </w:t>
      </w:r>
      <w:hyperlink r:id="rId16" w:history="1">
        <w:r w:rsidRPr="3287D6CA">
          <w:rPr>
            <w:rStyle w:val="Hyperlink"/>
            <w:rFonts w:eastAsia="Arial" w:cs="Arial"/>
          </w:rPr>
          <w:t>https://www.entsoe.eu/news/2022/09/06/entso-e-publishes-locational-marginal-pricing-data-items-as-part-of-bidding-zone-review-study/</w:t>
        </w:r>
      </w:hyperlink>
      <w:r w:rsidRPr="3287D6CA">
        <w:rPr>
          <w:rFonts w:eastAsia="Arial" w:cs="Arial"/>
        </w:rPr>
        <w:t>. G</w:t>
      </w:r>
      <w:r w:rsidRPr="3287D6CA">
        <w:rPr>
          <w:rFonts w:eastAsia="Calibri" w:cs="Arial"/>
        </w:rPr>
        <w:t>ranularity of data is per technology.</w:t>
      </w:r>
    </w:p>
    <w:p w14:paraId="3019003C" w14:textId="4E1FA0B2" w:rsidR="00E02EAB" w:rsidRPr="006E1E69" w:rsidRDefault="46E9B0E2" w:rsidP="007B48B4">
      <w:pPr>
        <w:pStyle w:val="Heading2"/>
      </w:pPr>
      <w:bookmarkStart w:id="46" w:name="_Toc115995526"/>
      <w:bookmarkStart w:id="47" w:name="_Toc119592601"/>
      <w:bookmarkStart w:id="48" w:name="_Toc120696702"/>
      <w:r>
        <w:t>Ramping capabilities</w:t>
      </w:r>
      <w:bookmarkEnd w:id="46"/>
      <w:bookmarkEnd w:id="47"/>
      <w:bookmarkEnd w:id="48"/>
    </w:p>
    <w:p w14:paraId="2E64A502" w14:textId="3E5FEF6B" w:rsidR="00086076" w:rsidRPr="006E1E69" w:rsidRDefault="3287D6CA" w:rsidP="3287D6CA">
      <w:pPr>
        <w:rPr>
          <w:rFonts w:eastAsia="Calibri" w:cs="Arial"/>
          <w:i/>
          <w:iCs/>
        </w:rPr>
      </w:pPr>
      <w:r w:rsidRPr="3287D6CA">
        <w:rPr>
          <w:rFonts w:eastAsia="Calibri" w:cs="Arial"/>
        </w:rPr>
        <w:t xml:space="preserve">For thermal plants ramping is modelled slightly differently in BZR than was done in LMP. For LMP, the ramping was considered to be 100 % meaning that the plant was able to ramp up/down </w:t>
      </w:r>
      <w:proofErr w:type="spellStart"/>
      <w:r w:rsidRPr="3287D6CA">
        <w:rPr>
          <w:rFonts w:eastAsia="Calibri" w:cs="Arial"/>
        </w:rPr>
        <w:t>it</w:t>
      </w:r>
      <w:r w:rsidR="0056126B">
        <w:rPr>
          <w:rFonts w:eastAsia="Calibri" w:cs="Arial"/>
        </w:rPr>
        <w:t>’</w:t>
      </w:r>
      <w:r w:rsidRPr="3287D6CA">
        <w:rPr>
          <w:rFonts w:eastAsia="Calibri" w:cs="Arial"/>
        </w:rPr>
        <w:t>s</w:t>
      </w:r>
      <w:proofErr w:type="spellEnd"/>
      <w:r w:rsidRPr="3287D6CA">
        <w:rPr>
          <w:rFonts w:eastAsia="Calibri" w:cs="Arial"/>
        </w:rPr>
        <w:t xml:space="preserve"> total capacity within 1 hour. For the BZR we included also an assumption of one hour of start-up and shut-down times, which mean that each plant will reach its minimum stable generation in 1 hour, and ramping to full capacity will take another hour. Similar principle will also apply for ramping down. </w:t>
      </w:r>
    </w:p>
    <w:p w14:paraId="44112BFA" w14:textId="661AF71F" w:rsidR="00FA13A0" w:rsidRPr="006E1E69" w:rsidRDefault="46E9B0E2" w:rsidP="007B48B4">
      <w:pPr>
        <w:pStyle w:val="Heading2"/>
      </w:pPr>
      <w:bookmarkStart w:id="49" w:name="_Toc115995527"/>
      <w:bookmarkStart w:id="50" w:name="_Toc119592602"/>
      <w:bookmarkStart w:id="51" w:name="_Toc120696703"/>
      <w:r>
        <w:t>Minimum run time</w:t>
      </w:r>
      <w:bookmarkEnd w:id="49"/>
      <w:bookmarkEnd w:id="50"/>
      <w:bookmarkEnd w:id="51"/>
    </w:p>
    <w:p w14:paraId="33873F59" w14:textId="4688DE14" w:rsidR="00086076" w:rsidRPr="006E1E69" w:rsidRDefault="3287D6CA" w:rsidP="3287D6CA">
      <w:pPr>
        <w:rPr>
          <w:rFonts w:eastAsia="Calibri" w:cs="Arial"/>
          <w:i/>
          <w:iCs/>
        </w:rPr>
      </w:pPr>
      <w:r w:rsidRPr="3287D6CA">
        <w:rPr>
          <w:rFonts w:eastAsia="Calibri" w:cs="Arial"/>
        </w:rPr>
        <w:t xml:space="preserve">Min time on and min time off are provided for thermal plants in the input files published for the LMP study. Please see input data from site: </w:t>
      </w:r>
      <w:hyperlink r:id="rId17" w:history="1">
        <w:r w:rsidRPr="3287D6CA">
          <w:rPr>
            <w:rStyle w:val="Hyperlink"/>
            <w:rFonts w:eastAsia="Calibri" w:cs="Arial"/>
          </w:rPr>
          <w:t>https://www.entsoe.eu/news/2022/09/06/entso-e-publishes-locational-marginal-pricing-data-items-as-part-of-bidding-zone-review-study/</w:t>
        </w:r>
      </w:hyperlink>
      <w:r w:rsidRPr="3287D6CA">
        <w:rPr>
          <w:rFonts w:eastAsia="Calibri" w:cs="Arial"/>
        </w:rPr>
        <w:t>. Granularity of data is per technology.</w:t>
      </w:r>
    </w:p>
    <w:p w14:paraId="76308533" w14:textId="66960010" w:rsidR="00FA13A0" w:rsidRPr="006E1E69" w:rsidRDefault="46E9B0E2" w:rsidP="007B48B4">
      <w:pPr>
        <w:pStyle w:val="Heading2"/>
      </w:pPr>
      <w:bookmarkStart w:id="52" w:name="_Toc115995528"/>
      <w:bookmarkStart w:id="53" w:name="_Toc119592603"/>
      <w:bookmarkStart w:id="54" w:name="_Toc120696704"/>
      <w:r>
        <w:t>Start-up and shut-down times</w:t>
      </w:r>
      <w:bookmarkEnd w:id="52"/>
      <w:bookmarkEnd w:id="53"/>
      <w:bookmarkEnd w:id="54"/>
    </w:p>
    <w:p w14:paraId="3D3FEFAF" w14:textId="229491F6" w:rsidR="67FCD6B0" w:rsidRDefault="3287D6CA" w:rsidP="79A94E0C">
      <w:pPr>
        <w:rPr>
          <w:rFonts w:eastAsia="Calibri" w:cs="Arial"/>
          <w:lang w:val="en-US"/>
        </w:rPr>
      </w:pPr>
      <w:r w:rsidRPr="3287D6CA">
        <w:rPr>
          <w:rFonts w:eastAsia="Arial" w:cs="Arial"/>
        </w:rPr>
        <w:t xml:space="preserve">In the BZR we will use an assumption of one hour start-up/shut-down time for all thermal plants (excluding nuclear, for which there is no outages included in the market dispatch and with the maintenance, the start-up/shut-down time can be assumed to be included in the maintenance time).  This means, that the time from start to minimum stable generation, and from minimum stable generation to zero will both take 1 hour. This will also change our ramping time such that the minimum stable generation is reached in 1 hour. After having reached minimum stable generation, the thermal plants can then ramp up to full power in the </w:t>
      </w:r>
      <w:r w:rsidRPr="3287D6CA">
        <w:rPr>
          <w:rFonts w:eastAsia="Arial" w:cs="Arial"/>
        </w:rPr>
        <w:lastRenderedPageBreak/>
        <w:t xml:space="preserve">second hour. This is also true for ramping down, i.e. that power plants need to ramp down to minimum stable generation before going to zero. </w:t>
      </w:r>
    </w:p>
    <w:p w14:paraId="5D58A4BF" w14:textId="220DE848" w:rsidR="00FA13A0" w:rsidRPr="006E1E69" w:rsidRDefault="46E9B0E2" w:rsidP="007B48B4">
      <w:pPr>
        <w:pStyle w:val="Heading2"/>
      </w:pPr>
      <w:bookmarkStart w:id="55" w:name="_Toc115995529"/>
      <w:bookmarkStart w:id="56" w:name="_Toc119592604"/>
      <w:bookmarkStart w:id="57" w:name="_Toc120696705"/>
      <w:r>
        <w:t>Start-up costs</w:t>
      </w:r>
      <w:bookmarkEnd w:id="55"/>
      <w:bookmarkEnd w:id="56"/>
      <w:bookmarkEnd w:id="57"/>
    </w:p>
    <w:p w14:paraId="5CF1ED89" w14:textId="77777777" w:rsidR="0056126B" w:rsidRPr="0056126B" w:rsidRDefault="3287D6CA" w:rsidP="3287D6CA">
      <w:pPr>
        <w:pStyle w:val="ListParagraph"/>
        <w:numPr>
          <w:ilvl w:val="0"/>
          <w:numId w:val="1"/>
        </w:numPr>
        <w:rPr>
          <w:rFonts w:asciiTheme="minorHAnsi" w:eastAsiaTheme="minorEastAsia" w:hAnsiTheme="minorHAnsi"/>
          <w:i/>
          <w:iCs/>
          <w:color w:val="365F91" w:themeColor="accent1" w:themeShade="BF"/>
          <w:sz w:val="26"/>
          <w:szCs w:val="26"/>
        </w:rPr>
      </w:pPr>
      <w:r w:rsidRPr="3287D6CA">
        <w:rPr>
          <w:rFonts w:eastAsia="Calibri" w:cs="Arial"/>
        </w:rPr>
        <w:t xml:space="preserve">Warm start costs are provided in the input files published for the LMP study. Please see the input data from site: </w:t>
      </w:r>
      <w:hyperlink r:id="rId18">
        <w:hyperlink r:id="rId19" w:history="1">
          <w:r w:rsidRPr="3287D6CA">
            <w:rPr>
              <w:rFonts w:eastAsia="Calibri" w:cs="Arial"/>
            </w:rPr>
            <w:t>https://www.entsoe.eu/news/2022/09/06/entso-e-publishes-locational-marginal-pricing-data-items-as-part-of-bidding-zone-review-study/.</w:t>
          </w:r>
        </w:hyperlink>
      </w:hyperlink>
      <w:r w:rsidRPr="3287D6CA">
        <w:rPr>
          <w:rFonts w:eastAsia="Calibri" w:cs="Arial"/>
        </w:rPr>
        <w:t xml:space="preserve"> Granularity of data is per technology.</w:t>
      </w:r>
      <w:bookmarkStart w:id="58" w:name="_Toc115995530"/>
      <w:bookmarkStart w:id="59" w:name="_Toc119592605"/>
      <w:bookmarkStart w:id="60" w:name="_Toc120696706"/>
    </w:p>
    <w:p w14:paraId="300572C9" w14:textId="0170BC3C" w:rsidR="00FA13A0" w:rsidRPr="0056126B" w:rsidRDefault="3287D6CA" w:rsidP="0056126B">
      <w:pPr>
        <w:pStyle w:val="Heading2"/>
      </w:pPr>
      <w:r>
        <w:t>Breakdown of short-run marginal costs used for market dispatch</w:t>
      </w:r>
      <w:bookmarkEnd w:id="58"/>
      <w:bookmarkEnd w:id="59"/>
      <w:bookmarkEnd w:id="60"/>
    </w:p>
    <w:p w14:paraId="781C133E" w14:textId="063B0CE0" w:rsidR="00CA2BC0" w:rsidRPr="006E1E69" w:rsidRDefault="0F563A2D" w:rsidP="6F99D4C6">
      <w:pPr>
        <w:rPr>
          <w:rFonts w:eastAsia="Calibri" w:cs="Arial"/>
        </w:rPr>
      </w:pPr>
      <w:r w:rsidRPr="0F563A2D">
        <w:rPr>
          <w:rFonts w:eastAsia="Calibri" w:cs="Arial"/>
        </w:rPr>
        <w:t xml:space="preserve">In table 3 main fuel costs and CO2 costs are presented. Used variable operation and maintenance costs are presented in table 4. </w:t>
      </w:r>
    </w:p>
    <w:p w14:paraId="688EBFDF" w14:textId="2B2AD8B0" w:rsidR="00D26FBF" w:rsidRDefault="46E9B0E2" w:rsidP="00D26FBF">
      <w:pPr>
        <w:pStyle w:val="Caption"/>
        <w:keepNext/>
      </w:pPr>
      <w:r>
        <w:t xml:space="preserve">Table </w:t>
      </w:r>
      <w:r w:rsidR="00D26FBF">
        <w:fldChar w:fldCharType="begin"/>
      </w:r>
      <w:r w:rsidR="00D26FBF">
        <w:instrText xml:space="preserve"> SEQ Tabel \* ARABIC </w:instrText>
      </w:r>
      <w:r w:rsidR="00D26FBF">
        <w:fldChar w:fldCharType="separate"/>
      </w:r>
      <w:r w:rsidR="0056126B">
        <w:rPr>
          <w:noProof/>
        </w:rPr>
        <w:t>3</w:t>
      </w:r>
      <w:r w:rsidR="00D26FBF">
        <w:fldChar w:fldCharType="end"/>
      </w:r>
      <w:r>
        <w:t xml:space="preserve"> Fuel/Commodity prices</w:t>
      </w:r>
    </w:p>
    <w:tbl>
      <w:tblPr>
        <w:tblStyle w:val="TableGrid"/>
        <w:tblW w:w="0" w:type="auto"/>
        <w:tblLayout w:type="fixed"/>
        <w:tblLook w:val="06A0" w:firstRow="1" w:lastRow="0" w:firstColumn="1" w:lastColumn="0" w:noHBand="1" w:noVBand="1"/>
      </w:tblPr>
      <w:tblGrid>
        <w:gridCol w:w="2415"/>
        <w:gridCol w:w="1455"/>
        <w:gridCol w:w="1500"/>
        <w:gridCol w:w="1500"/>
        <w:gridCol w:w="1725"/>
      </w:tblGrid>
      <w:tr w:rsidR="6F99D4C6" w14:paraId="32B48044" w14:textId="77777777" w:rsidTr="3287D6CA">
        <w:trPr>
          <w:trHeight w:val="915"/>
        </w:trPr>
        <w:tc>
          <w:tcPr>
            <w:tcW w:w="2415" w:type="dxa"/>
            <w:tcBorders>
              <w:top w:val="nil"/>
              <w:left w:val="nil"/>
              <w:bottom w:val="single" w:sz="8" w:space="0" w:color="auto"/>
              <w:right w:val="nil"/>
            </w:tcBorders>
            <w:vAlign w:val="center"/>
          </w:tcPr>
          <w:p w14:paraId="01AB386C" w14:textId="493DDB17" w:rsidR="6F99D4C6" w:rsidRDefault="0F563A2D">
            <w:r w:rsidRPr="0F563A2D">
              <w:rPr>
                <w:rFonts w:eastAsia="Arial" w:cs="Arial"/>
                <w:b/>
                <w:bCs/>
                <w:color w:val="000000" w:themeColor="text1"/>
              </w:rPr>
              <w:t>Fuel/Commodity</w:t>
            </w:r>
          </w:p>
        </w:tc>
        <w:tc>
          <w:tcPr>
            <w:tcW w:w="1455" w:type="dxa"/>
            <w:tcBorders>
              <w:top w:val="nil"/>
              <w:left w:val="nil"/>
              <w:bottom w:val="single" w:sz="8" w:space="0" w:color="auto"/>
              <w:right w:val="nil"/>
            </w:tcBorders>
            <w:vAlign w:val="center"/>
          </w:tcPr>
          <w:p w14:paraId="7BAA0908" w14:textId="53512225" w:rsidR="6F99D4C6" w:rsidRDefault="0F563A2D">
            <w:r w:rsidRPr="0F563A2D">
              <w:rPr>
                <w:rFonts w:eastAsia="Arial" w:cs="Arial"/>
                <w:b/>
                <w:bCs/>
                <w:color w:val="000000" w:themeColor="text1"/>
              </w:rPr>
              <w:t>Main scenario (€/MWh)</w:t>
            </w:r>
          </w:p>
        </w:tc>
        <w:tc>
          <w:tcPr>
            <w:tcW w:w="1500" w:type="dxa"/>
            <w:tcBorders>
              <w:top w:val="nil"/>
              <w:left w:val="nil"/>
              <w:bottom w:val="single" w:sz="8" w:space="0" w:color="auto"/>
              <w:right w:val="nil"/>
            </w:tcBorders>
            <w:vAlign w:val="center"/>
          </w:tcPr>
          <w:p w14:paraId="01F34FA1" w14:textId="2095664A" w:rsidR="6F99D4C6" w:rsidRDefault="0F563A2D">
            <w:r w:rsidRPr="0F563A2D">
              <w:rPr>
                <w:rFonts w:eastAsia="Arial" w:cs="Arial"/>
                <w:b/>
                <w:bCs/>
                <w:color w:val="000000" w:themeColor="text1"/>
              </w:rPr>
              <w:t>Main scenario (€/GJ)</w:t>
            </w:r>
          </w:p>
        </w:tc>
        <w:tc>
          <w:tcPr>
            <w:tcW w:w="1500" w:type="dxa"/>
            <w:tcBorders>
              <w:top w:val="nil"/>
              <w:left w:val="nil"/>
              <w:bottom w:val="single" w:sz="8" w:space="0" w:color="auto"/>
              <w:right w:val="nil"/>
            </w:tcBorders>
            <w:vAlign w:val="center"/>
          </w:tcPr>
          <w:p w14:paraId="0506C751" w14:textId="71602585" w:rsidR="6F99D4C6" w:rsidRDefault="0F563A2D">
            <w:r w:rsidRPr="0F563A2D">
              <w:rPr>
                <w:rFonts w:eastAsia="Arial" w:cs="Arial"/>
                <w:b/>
                <w:bCs/>
                <w:color w:val="000000" w:themeColor="text1"/>
              </w:rPr>
              <w:t>Sensitivity analysis (€/MWh)</w:t>
            </w:r>
          </w:p>
        </w:tc>
        <w:tc>
          <w:tcPr>
            <w:tcW w:w="1725" w:type="dxa"/>
            <w:tcBorders>
              <w:top w:val="nil"/>
              <w:left w:val="nil"/>
              <w:bottom w:val="single" w:sz="8" w:space="0" w:color="auto"/>
              <w:right w:val="nil"/>
            </w:tcBorders>
            <w:vAlign w:val="center"/>
          </w:tcPr>
          <w:p w14:paraId="4C734E70" w14:textId="4F13C273" w:rsidR="6F99D4C6" w:rsidRDefault="0F563A2D">
            <w:r w:rsidRPr="0F563A2D">
              <w:rPr>
                <w:rFonts w:eastAsia="Arial" w:cs="Arial"/>
                <w:b/>
                <w:bCs/>
                <w:color w:val="000000" w:themeColor="text1"/>
              </w:rPr>
              <w:t>Sensitivity analysis (€/MWh)</w:t>
            </w:r>
          </w:p>
        </w:tc>
      </w:tr>
      <w:tr w:rsidR="6F99D4C6" w14:paraId="73B14E5F" w14:textId="77777777" w:rsidTr="3287D6CA">
        <w:trPr>
          <w:trHeight w:val="300"/>
        </w:trPr>
        <w:tc>
          <w:tcPr>
            <w:tcW w:w="2415" w:type="dxa"/>
            <w:tcBorders>
              <w:top w:val="single" w:sz="8" w:space="0" w:color="auto"/>
              <w:left w:val="nil"/>
              <w:bottom w:val="nil"/>
              <w:right w:val="nil"/>
            </w:tcBorders>
            <w:vAlign w:val="center"/>
          </w:tcPr>
          <w:p w14:paraId="0ADE42C9" w14:textId="3239435D" w:rsidR="6F99D4C6" w:rsidRDefault="0F563A2D">
            <w:r w:rsidRPr="0F563A2D">
              <w:rPr>
                <w:rFonts w:eastAsia="Arial" w:cs="Arial"/>
                <w:color w:val="000000" w:themeColor="text1"/>
              </w:rPr>
              <w:t>Nuclear</w:t>
            </w:r>
          </w:p>
        </w:tc>
        <w:tc>
          <w:tcPr>
            <w:tcW w:w="1455" w:type="dxa"/>
            <w:tcBorders>
              <w:top w:val="single" w:sz="8" w:space="0" w:color="auto"/>
              <w:left w:val="nil"/>
              <w:bottom w:val="nil"/>
              <w:right w:val="nil"/>
            </w:tcBorders>
            <w:vAlign w:val="center"/>
          </w:tcPr>
          <w:p w14:paraId="04C12921" w14:textId="225AAF41" w:rsidR="6F99D4C6" w:rsidRDefault="0F563A2D">
            <w:r w:rsidRPr="0F563A2D">
              <w:rPr>
                <w:rFonts w:eastAsia="Arial" w:cs="Arial"/>
                <w:color w:val="000000" w:themeColor="text1"/>
              </w:rPr>
              <w:t>1,69</w:t>
            </w:r>
          </w:p>
        </w:tc>
        <w:tc>
          <w:tcPr>
            <w:tcW w:w="1500" w:type="dxa"/>
            <w:tcBorders>
              <w:top w:val="single" w:sz="8" w:space="0" w:color="auto"/>
              <w:left w:val="nil"/>
              <w:bottom w:val="nil"/>
              <w:right w:val="nil"/>
            </w:tcBorders>
            <w:vAlign w:val="bottom"/>
          </w:tcPr>
          <w:p w14:paraId="6609BA21" w14:textId="43F5018E" w:rsidR="6F99D4C6" w:rsidRDefault="0F563A2D">
            <w:r w:rsidRPr="0F563A2D">
              <w:rPr>
                <w:rFonts w:eastAsia="Arial" w:cs="Arial"/>
                <w:color w:val="000000" w:themeColor="text1"/>
              </w:rPr>
              <w:t>0,47</w:t>
            </w:r>
          </w:p>
        </w:tc>
        <w:tc>
          <w:tcPr>
            <w:tcW w:w="1500" w:type="dxa"/>
            <w:tcBorders>
              <w:top w:val="single" w:sz="8" w:space="0" w:color="auto"/>
              <w:left w:val="nil"/>
              <w:bottom w:val="nil"/>
              <w:right w:val="nil"/>
            </w:tcBorders>
            <w:vAlign w:val="bottom"/>
          </w:tcPr>
          <w:p w14:paraId="3EE36EBF" w14:textId="4C2473E4" w:rsidR="6F99D4C6" w:rsidRDefault="0F563A2D">
            <w:r w:rsidRPr="0F563A2D">
              <w:rPr>
                <w:rFonts w:eastAsia="Arial" w:cs="Arial"/>
                <w:color w:val="000000" w:themeColor="text1"/>
              </w:rPr>
              <w:t>1,69</w:t>
            </w:r>
          </w:p>
        </w:tc>
        <w:tc>
          <w:tcPr>
            <w:tcW w:w="1725" w:type="dxa"/>
            <w:tcBorders>
              <w:top w:val="single" w:sz="8" w:space="0" w:color="auto"/>
              <w:left w:val="nil"/>
              <w:bottom w:val="nil"/>
              <w:right w:val="nil"/>
            </w:tcBorders>
            <w:vAlign w:val="bottom"/>
          </w:tcPr>
          <w:p w14:paraId="4AAFCF25" w14:textId="6554E364" w:rsidR="6F99D4C6" w:rsidRDefault="0F563A2D">
            <w:r w:rsidRPr="0F563A2D">
              <w:rPr>
                <w:rFonts w:eastAsia="Arial" w:cs="Arial"/>
                <w:color w:val="000000" w:themeColor="text1"/>
              </w:rPr>
              <w:t>0,47</w:t>
            </w:r>
          </w:p>
        </w:tc>
      </w:tr>
      <w:tr w:rsidR="6F99D4C6" w14:paraId="47B9C20D" w14:textId="77777777" w:rsidTr="3287D6CA">
        <w:trPr>
          <w:trHeight w:val="285"/>
        </w:trPr>
        <w:tc>
          <w:tcPr>
            <w:tcW w:w="2415" w:type="dxa"/>
            <w:tcBorders>
              <w:top w:val="nil"/>
              <w:left w:val="nil"/>
              <w:bottom w:val="nil"/>
              <w:right w:val="nil"/>
            </w:tcBorders>
            <w:vAlign w:val="center"/>
          </w:tcPr>
          <w:p w14:paraId="781D99E8" w14:textId="059C2F10" w:rsidR="6F99D4C6" w:rsidRDefault="0F563A2D">
            <w:r w:rsidRPr="0F563A2D">
              <w:rPr>
                <w:rFonts w:eastAsia="Arial" w:cs="Arial"/>
                <w:color w:val="000000" w:themeColor="text1"/>
              </w:rPr>
              <w:t>Lignite</w:t>
            </w:r>
          </w:p>
        </w:tc>
        <w:tc>
          <w:tcPr>
            <w:tcW w:w="1455" w:type="dxa"/>
            <w:tcBorders>
              <w:top w:val="nil"/>
              <w:left w:val="nil"/>
              <w:bottom w:val="nil"/>
              <w:right w:val="nil"/>
            </w:tcBorders>
            <w:vAlign w:val="center"/>
          </w:tcPr>
          <w:p w14:paraId="05FBA2A5" w14:textId="1338FEF9" w:rsidR="6F99D4C6" w:rsidRDefault="0F563A2D">
            <w:r w:rsidRPr="0F563A2D">
              <w:rPr>
                <w:rFonts w:eastAsia="Arial" w:cs="Arial"/>
                <w:color w:val="000000" w:themeColor="text1"/>
              </w:rPr>
              <w:t>3,2</w:t>
            </w:r>
          </w:p>
        </w:tc>
        <w:tc>
          <w:tcPr>
            <w:tcW w:w="1500" w:type="dxa"/>
            <w:tcBorders>
              <w:top w:val="nil"/>
              <w:left w:val="nil"/>
              <w:bottom w:val="nil"/>
              <w:right w:val="nil"/>
            </w:tcBorders>
            <w:vAlign w:val="bottom"/>
          </w:tcPr>
          <w:p w14:paraId="0BC0CF95" w14:textId="0376520E" w:rsidR="6F99D4C6" w:rsidRDefault="0F563A2D">
            <w:r w:rsidRPr="0F563A2D">
              <w:rPr>
                <w:rFonts w:eastAsia="Arial" w:cs="Arial"/>
                <w:color w:val="000000" w:themeColor="text1"/>
              </w:rPr>
              <w:t>0,89</w:t>
            </w:r>
          </w:p>
        </w:tc>
        <w:tc>
          <w:tcPr>
            <w:tcW w:w="1500" w:type="dxa"/>
            <w:tcBorders>
              <w:top w:val="nil"/>
              <w:left w:val="nil"/>
              <w:bottom w:val="nil"/>
              <w:right w:val="nil"/>
            </w:tcBorders>
            <w:vAlign w:val="bottom"/>
          </w:tcPr>
          <w:p w14:paraId="71038907" w14:textId="54E901B2" w:rsidR="6F99D4C6" w:rsidRDefault="0F563A2D">
            <w:r w:rsidRPr="0F563A2D">
              <w:rPr>
                <w:rFonts w:eastAsia="Arial" w:cs="Arial"/>
                <w:color w:val="000000" w:themeColor="text1"/>
              </w:rPr>
              <w:t>6,48</w:t>
            </w:r>
          </w:p>
        </w:tc>
        <w:tc>
          <w:tcPr>
            <w:tcW w:w="1725" w:type="dxa"/>
            <w:tcBorders>
              <w:top w:val="nil"/>
              <w:left w:val="nil"/>
              <w:bottom w:val="nil"/>
              <w:right w:val="nil"/>
            </w:tcBorders>
            <w:vAlign w:val="bottom"/>
          </w:tcPr>
          <w:p w14:paraId="2B87DC59" w14:textId="1E3BB61F" w:rsidR="6F99D4C6" w:rsidRDefault="0F563A2D">
            <w:r w:rsidRPr="0F563A2D">
              <w:rPr>
                <w:rFonts w:eastAsia="Arial" w:cs="Arial"/>
                <w:color w:val="000000" w:themeColor="text1"/>
              </w:rPr>
              <w:t>1,8</w:t>
            </w:r>
          </w:p>
        </w:tc>
      </w:tr>
      <w:tr w:rsidR="6F99D4C6" w14:paraId="371F4506" w14:textId="77777777" w:rsidTr="3287D6CA">
        <w:trPr>
          <w:trHeight w:val="285"/>
        </w:trPr>
        <w:tc>
          <w:tcPr>
            <w:tcW w:w="2415" w:type="dxa"/>
            <w:tcBorders>
              <w:top w:val="nil"/>
              <w:left w:val="nil"/>
              <w:bottom w:val="nil"/>
              <w:right w:val="nil"/>
            </w:tcBorders>
            <w:vAlign w:val="center"/>
          </w:tcPr>
          <w:p w14:paraId="01FBBCEE" w14:textId="6CCC22CB" w:rsidR="6F99D4C6" w:rsidRDefault="0F563A2D">
            <w:r w:rsidRPr="0F563A2D">
              <w:rPr>
                <w:rFonts w:eastAsia="Arial" w:cs="Arial"/>
                <w:color w:val="000000" w:themeColor="text1"/>
              </w:rPr>
              <w:t>Hard Coal</w:t>
            </w:r>
          </w:p>
        </w:tc>
        <w:tc>
          <w:tcPr>
            <w:tcW w:w="1455" w:type="dxa"/>
            <w:tcBorders>
              <w:top w:val="nil"/>
              <w:left w:val="nil"/>
              <w:bottom w:val="nil"/>
              <w:right w:val="nil"/>
            </w:tcBorders>
            <w:vAlign w:val="center"/>
          </w:tcPr>
          <w:p w14:paraId="0CC88963" w14:textId="2944C0E9" w:rsidR="6F99D4C6" w:rsidRDefault="0F563A2D">
            <w:r w:rsidRPr="0F563A2D">
              <w:rPr>
                <w:rFonts w:eastAsia="Arial" w:cs="Arial"/>
                <w:color w:val="000000" w:themeColor="text1"/>
              </w:rPr>
              <w:t>9,59</w:t>
            </w:r>
          </w:p>
        </w:tc>
        <w:tc>
          <w:tcPr>
            <w:tcW w:w="1500" w:type="dxa"/>
            <w:tcBorders>
              <w:top w:val="nil"/>
              <w:left w:val="nil"/>
              <w:bottom w:val="nil"/>
              <w:right w:val="nil"/>
            </w:tcBorders>
            <w:vAlign w:val="bottom"/>
          </w:tcPr>
          <w:p w14:paraId="5CCBA6AB" w14:textId="0B9D1920" w:rsidR="6F99D4C6" w:rsidRDefault="0F563A2D">
            <w:r w:rsidRPr="0F563A2D">
              <w:rPr>
                <w:rFonts w:eastAsia="Arial" w:cs="Arial"/>
                <w:color w:val="000000" w:themeColor="text1"/>
              </w:rPr>
              <w:t>2,66</w:t>
            </w:r>
          </w:p>
        </w:tc>
        <w:tc>
          <w:tcPr>
            <w:tcW w:w="1500" w:type="dxa"/>
            <w:tcBorders>
              <w:top w:val="nil"/>
              <w:left w:val="nil"/>
              <w:bottom w:val="nil"/>
              <w:right w:val="nil"/>
            </w:tcBorders>
            <w:vAlign w:val="bottom"/>
          </w:tcPr>
          <w:p w14:paraId="62AFE8FB" w14:textId="72C0F79E" w:rsidR="6F99D4C6" w:rsidRDefault="0F563A2D">
            <w:r w:rsidRPr="0F563A2D">
              <w:rPr>
                <w:rFonts w:eastAsia="Arial" w:cs="Arial"/>
                <w:color w:val="000000" w:themeColor="text1"/>
              </w:rPr>
              <w:t>10,87</w:t>
            </w:r>
          </w:p>
        </w:tc>
        <w:tc>
          <w:tcPr>
            <w:tcW w:w="1725" w:type="dxa"/>
            <w:tcBorders>
              <w:top w:val="nil"/>
              <w:left w:val="nil"/>
              <w:bottom w:val="nil"/>
              <w:right w:val="nil"/>
            </w:tcBorders>
            <w:vAlign w:val="bottom"/>
          </w:tcPr>
          <w:p w14:paraId="5C1EB950" w14:textId="543B7E23" w:rsidR="6F99D4C6" w:rsidRDefault="0F563A2D">
            <w:r w:rsidRPr="0F563A2D">
              <w:rPr>
                <w:rFonts w:eastAsia="Arial" w:cs="Arial"/>
                <w:color w:val="000000" w:themeColor="text1"/>
              </w:rPr>
              <w:t>3,02</w:t>
            </w:r>
          </w:p>
        </w:tc>
      </w:tr>
      <w:tr w:rsidR="6F99D4C6" w14:paraId="54D67D49" w14:textId="77777777" w:rsidTr="3287D6CA">
        <w:trPr>
          <w:trHeight w:val="285"/>
        </w:trPr>
        <w:tc>
          <w:tcPr>
            <w:tcW w:w="2415" w:type="dxa"/>
            <w:tcBorders>
              <w:top w:val="nil"/>
              <w:left w:val="nil"/>
              <w:bottom w:val="nil"/>
              <w:right w:val="nil"/>
            </w:tcBorders>
            <w:vAlign w:val="center"/>
          </w:tcPr>
          <w:p w14:paraId="2F3AFF31" w14:textId="184E4516" w:rsidR="6F99D4C6" w:rsidRDefault="0F563A2D">
            <w:r w:rsidRPr="0F563A2D">
              <w:rPr>
                <w:rFonts w:eastAsia="Arial" w:cs="Arial"/>
                <w:color w:val="000000" w:themeColor="text1"/>
              </w:rPr>
              <w:t>Gas</w:t>
            </w:r>
          </w:p>
        </w:tc>
        <w:tc>
          <w:tcPr>
            <w:tcW w:w="1455" w:type="dxa"/>
            <w:tcBorders>
              <w:top w:val="nil"/>
              <w:left w:val="nil"/>
              <w:bottom w:val="nil"/>
              <w:right w:val="nil"/>
            </w:tcBorders>
            <w:vAlign w:val="center"/>
          </w:tcPr>
          <w:p w14:paraId="0E595CE9" w14:textId="3B75A686" w:rsidR="6F99D4C6" w:rsidRDefault="0F563A2D">
            <w:r w:rsidRPr="0F563A2D">
              <w:rPr>
                <w:rFonts w:eastAsia="Arial" w:cs="Arial"/>
                <w:color w:val="000000" w:themeColor="text1"/>
              </w:rPr>
              <w:t>25,61</w:t>
            </w:r>
          </w:p>
        </w:tc>
        <w:tc>
          <w:tcPr>
            <w:tcW w:w="1500" w:type="dxa"/>
            <w:tcBorders>
              <w:top w:val="nil"/>
              <w:left w:val="nil"/>
              <w:bottom w:val="nil"/>
              <w:right w:val="nil"/>
            </w:tcBorders>
            <w:vAlign w:val="bottom"/>
          </w:tcPr>
          <w:p w14:paraId="390E1B5F" w14:textId="727E1605" w:rsidR="6F99D4C6" w:rsidRDefault="0F563A2D">
            <w:r w:rsidRPr="0F563A2D">
              <w:rPr>
                <w:rFonts w:eastAsia="Arial" w:cs="Arial"/>
                <w:color w:val="000000" w:themeColor="text1"/>
              </w:rPr>
              <w:t>7,12</w:t>
            </w:r>
          </w:p>
        </w:tc>
        <w:tc>
          <w:tcPr>
            <w:tcW w:w="1500" w:type="dxa"/>
            <w:tcBorders>
              <w:top w:val="nil"/>
              <w:left w:val="nil"/>
              <w:bottom w:val="nil"/>
              <w:right w:val="nil"/>
            </w:tcBorders>
            <w:vAlign w:val="bottom"/>
          </w:tcPr>
          <w:p w14:paraId="01A5D285" w14:textId="13A64190" w:rsidR="6F99D4C6" w:rsidRDefault="0F563A2D">
            <w:r w:rsidRPr="0F563A2D">
              <w:rPr>
                <w:rFonts w:eastAsia="Arial" w:cs="Arial"/>
                <w:color w:val="000000" w:themeColor="text1"/>
              </w:rPr>
              <w:t>44,99</w:t>
            </w:r>
          </w:p>
        </w:tc>
        <w:tc>
          <w:tcPr>
            <w:tcW w:w="1725" w:type="dxa"/>
            <w:tcBorders>
              <w:top w:val="nil"/>
              <w:left w:val="nil"/>
              <w:bottom w:val="nil"/>
              <w:right w:val="nil"/>
            </w:tcBorders>
            <w:vAlign w:val="bottom"/>
          </w:tcPr>
          <w:p w14:paraId="1EE08AF3" w14:textId="6CAF92AE" w:rsidR="6F99D4C6" w:rsidRDefault="0F563A2D">
            <w:r w:rsidRPr="0F563A2D">
              <w:rPr>
                <w:rFonts w:eastAsia="Arial" w:cs="Arial"/>
                <w:color w:val="000000" w:themeColor="text1"/>
              </w:rPr>
              <w:t>12,5</w:t>
            </w:r>
          </w:p>
        </w:tc>
      </w:tr>
      <w:tr w:rsidR="6F99D4C6" w14:paraId="29221896" w14:textId="77777777" w:rsidTr="3287D6CA">
        <w:trPr>
          <w:trHeight w:val="285"/>
        </w:trPr>
        <w:tc>
          <w:tcPr>
            <w:tcW w:w="2415" w:type="dxa"/>
            <w:tcBorders>
              <w:top w:val="nil"/>
              <w:left w:val="nil"/>
              <w:bottom w:val="nil"/>
              <w:right w:val="nil"/>
            </w:tcBorders>
            <w:vAlign w:val="center"/>
          </w:tcPr>
          <w:p w14:paraId="561A2A47" w14:textId="05EF0A37" w:rsidR="6F99D4C6" w:rsidRDefault="0F563A2D">
            <w:r w:rsidRPr="0F563A2D">
              <w:rPr>
                <w:rFonts w:eastAsia="Arial" w:cs="Arial"/>
                <w:color w:val="000000" w:themeColor="text1"/>
              </w:rPr>
              <w:t>Light Oil</w:t>
            </w:r>
          </w:p>
        </w:tc>
        <w:tc>
          <w:tcPr>
            <w:tcW w:w="1455" w:type="dxa"/>
            <w:tcBorders>
              <w:top w:val="nil"/>
              <w:left w:val="nil"/>
              <w:bottom w:val="nil"/>
              <w:right w:val="nil"/>
            </w:tcBorders>
            <w:vAlign w:val="center"/>
          </w:tcPr>
          <w:p w14:paraId="31EF3544" w14:textId="5EF630E9" w:rsidR="6F99D4C6" w:rsidRDefault="0F563A2D">
            <w:r w:rsidRPr="0F563A2D">
              <w:rPr>
                <w:rFonts w:eastAsia="Arial" w:cs="Arial"/>
                <w:color w:val="000000" w:themeColor="text1"/>
              </w:rPr>
              <w:t>47,63</w:t>
            </w:r>
          </w:p>
        </w:tc>
        <w:tc>
          <w:tcPr>
            <w:tcW w:w="1500" w:type="dxa"/>
            <w:tcBorders>
              <w:top w:val="nil"/>
              <w:left w:val="nil"/>
              <w:bottom w:val="nil"/>
              <w:right w:val="nil"/>
            </w:tcBorders>
            <w:vAlign w:val="bottom"/>
          </w:tcPr>
          <w:p w14:paraId="1027AE4A" w14:textId="2DCF00B0" w:rsidR="6F99D4C6" w:rsidRDefault="0F563A2D">
            <w:r w:rsidRPr="0F563A2D">
              <w:rPr>
                <w:rFonts w:eastAsia="Arial" w:cs="Arial"/>
                <w:color w:val="000000" w:themeColor="text1"/>
              </w:rPr>
              <w:t>13,23</w:t>
            </w:r>
          </w:p>
        </w:tc>
        <w:tc>
          <w:tcPr>
            <w:tcW w:w="1500" w:type="dxa"/>
            <w:tcBorders>
              <w:top w:val="nil"/>
              <w:left w:val="nil"/>
              <w:bottom w:val="nil"/>
              <w:right w:val="nil"/>
            </w:tcBorders>
            <w:vAlign w:val="bottom"/>
          </w:tcPr>
          <w:p w14:paraId="4BF1CF4E" w14:textId="1A9B1EB4" w:rsidR="6F99D4C6" w:rsidRDefault="0F563A2D">
            <w:r w:rsidRPr="0F563A2D">
              <w:rPr>
                <w:rFonts w:eastAsia="Arial" w:cs="Arial"/>
                <w:color w:val="000000" w:themeColor="text1"/>
              </w:rPr>
              <w:t>69,28</w:t>
            </w:r>
          </w:p>
        </w:tc>
        <w:tc>
          <w:tcPr>
            <w:tcW w:w="1725" w:type="dxa"/>
            <w:tcBorders>
              <w:top w:val="nil"/>
              <w:left w:val="nil"/>
              <w:bottom w:val="nil"/>
              <w:right w:val="nil"/>
            </w:tcBorders>
            <w:vAlign w:val="bottom"/>
          </w:tcPr>
          <w:p w14:paraId="690D1469" w14:textId="0238B116" w:rsidR="6F99D4C6" w:rsidRDefault="0F563A2D">
            <w:r w:rsidRPr="0F563A2D">
              <w:rPr>
                <w:rFonts w:eastAsia="Arial" w:cs="Arial"/>
                <w:color w:val="000000" w:themeColor="text1"/>
              </w:rPr>
              <w:t>19,25</w:t>
            </w:r>
          </w:p>
        </w:tc>
      </w:tr>
      <w:tr w:rsidR="6F99D4C6" w14:paraId="5395005D" w14:textId="77777777" w:rsidTr="3287D6CA">
        <w:trPr>
          <w:trHeight w:val="285"/>
        </w:trPr>
        <w:tc>
          <w:tcPr>
            <w:tcW w:w="2415" w:type="dxa"/>
            <w:tcBorders>
              <w:top w:val="nil"/>
              <w:left w:val="nil"/>
              <w:bottom w:val="nil"/>
              <w:right w:val="nil"/>
            </w:tcBorders>
            <w:vAlign w:val="center"/>
          </w:tcPr>
          <w:p w14:paraId="6ED4E68E" w14:textId="148793F1" w:rsidR="6F99D4C6" w:rsidRDefault="0F563A2D">
            <w:r w:rsidRPr="0F563A2D">
              <w:rPr>
                <w:rFonts w:eastAsia="Arial" w:cs="Arial"/>
                <w:color w:val="000000" w:themeColor="text1"/>
              </w:rPr>
              <w:t>Heavy Oil</w:t>
            </w:r>
          </w:p>
        </w:tc>
        <w:tc>
          <w:tcPr>
            <w:tcW w:w="1455" w:type="dxa"/>
            <w:tcBorders>
              <w:top w:val="nil"/>
              <w:left w:val="nil"/>
              <w:bottom w:val="nil"/>
              <w:right w:val="nil"/>
            </w:tcBorders>
            <w:vAlign w:val="center"/>
          </w:tcPr>
          <w:p w14:paraId="73B9C3DB" w14:textId="3D4A8EAB" w:rsidR="6F99D4C6" w:rsidRDefault="0F563A2D">
            <w:r w:rsidRPr="0F563A2D">
              <w:rPr>
                <w:rFonts w:eastAsia="Arial" w:cs="Arial"/>
                <w:color w:val="000000" w:themeColor="text1"/>
              </w:rPr>
              <w:t>31,15</w:t>
            </w:r>
          </w:p>
        </w:tc>
        <w:tc>
          <w:tcPr>
            <w:tcW w:w="1500" w:type="dxa"/>
            <w:tcBorders>
              <w:top w:val="nil"/>
              <w:left w:val="nil"/>
              <w:bottom w:val="nil"/>
              <w:right w:val="nil"/>
            </w:tcBorders>
            <w:vAlign w:val="bottom"/>
          </w:tcPr>
          <w:p w14:paraId="668177DA" w14:textId="20F945DE" w:rsidR="6F99D4C6" w:rsidRDefault="0F563A2D">
            <w:r w:rsidRPr="0F563A2D">
              <w:rPr>
                <w:rFonts w:eastAsia="Arial" w:cs="Arial"/>
                <w:color w:val="000000" w:themeColor="text1"/>
              </w:rPr>
              <w:t>8,66</w:t>
            </w:r>
          </w:p>
        </w:tc>
        <w:tc>
          <w:tcPr>
            <w:tcW w:w="1500" w:type="dxa"/>
            <w:tcBorders>
              <w:top w:val="nil"/>
              <w:left w:val="nil"/>
              <w:bottom w:val="nil"/>
              <w:right w:val="nil"/>
            </w:tcBorders>
            <w:vAlign w:val="bottom"/>
          </w:tcPr>
          <w:p w14:paraId="71E708A2" w14:textId="599EDC50" w:rsidR="6F99D4C6" w:rsidRDefault="0F563A2D">
            <w:r w:rsidRPr="0F563A2D">
              <w:rPr>
                <w:rFonts w:eastAsia="Arial" w:cs="Arial"/>
                <w:color w:val="000000" w:themeColor="text1"/>
              </w:rPr>
              <w:t>56,83</w:t>
            </w:r>
          </w:p>
        </w:tc>
        <w:tc>
          <w:tcPr>
            <w:tcW w:w="1725" w:type="dxa"/>
            <w:tcBorders>
              <w:top w:val="nil"/>
              <w:left w:val="nil"/>
              <w:bottom w:val="nil"/>
              <w:right w:val="nil"/>
            </w:tcBorders>
            <w:vAlign w:val="bottom"/>
          </w:tcPr>
          <w:p w14:paraId="0C36AA0A" w14:textId="32CF33F4" w:rsidR="6F99D4C6" w:rsidRDefault="0F563A2D">
            <w:r w:rsidRPr="0F563A2D">
              <w:rPr>
                <w:rFonts w:eastAsia="Arial" w:cs="Arial"/>
                <w:color w:val="000000" w:themeColor="text1"/>
              </w:rPr>
              <w:t>15,79</w:t>
            </w:r>
          </w:p>
        </w:tc>
      </w:tr>
      <w:tr w:rsidR="6F99D4C6" w14:paraId="5DB4CE4E" w14:textId="77777777" w:rsidTr="3287D6CA">
        <w:trPr>
          <w:trHeight w:val="300"/>
        </w:trPr>
        <w:tc>
          <w:tcPr>
            <w:tcW w:w="2415" w:type="dxa"/>
            <w:tcBorders>
              <w:top w:val="nil"/>
              <w:left w:val="nil"/>
              <w:bottom w:val="single" w:sz="8" w:space="0" w:color="auto"/>
              <w:right w:val="nil"/>
            </w:tcBorders>
            <w:vAlign w:val="center"/>
          </w:tcPr>
          <w:p w14:paraId="6CB37B57" w14:textId="65563DCC" w:rsidR="6F99D4C6" w:rsidRDefault="0F563A2D">
            <w:r w:rsidRPr="0F563A2D">
              <w:rPr>
                <w:rFonts w:eastAsia="Arial" w:cs="Arial"/>
                <w:color w:val="000000" w:themeColor="text1"/>
              </w:rPr>
              <w:t>Oil Shale</w:t>
            </w:r>
          </w:p>
        </w:tc>
        <w:tc>
          <w:tcPr>
            <w:tcW w:w="1455" w:type="dxa"/>
            <w:tcBorders>
              <w:top w:val="nil"/>
              <w:left w:val="nil"/>
              <w:bottom w:val="single" w:sz="8" w:space="0" w:color="auto"/>
              <w:right w:val="nil"/>
            </w:tcBorders>
            <w:vAlign w:val="center"/>
          </w:tcPr>
          <w:p w14:paraId="25F4383A" w14:textId="6698F0A8" w:rsidR="6F99D4C6" w:rsidRDefault="0F563A2D">
            <w:r w:rsidRPr="0F563A2D">
              <w:rPr>
                <w:rFonts w:eastAsia="Arial" w:cs="Arial"/>
                <w:color w:val="000000" w:themeColor="text1"/>
              </w:rPr>
              <w:t>8,28</w:t>
            </w:r>
          </w:p>
        </w:tc>
        <w:tc>
          <w:tcPr>
            <w:tcW w:w="1500" w:type="dxa"/>
            <w:tcBorders>
              <w:top w:val="nil"/>
              <w:left w:val="nil"/>
              <w:bottom w:val="single" w:sz="8" w:space="0" w:color="auto"/>
              <w:right w:val="nil"/>
            </w:tcBorders>
            <w:vAlign w:val="bottom"/>
          </w:tcPr>
          <w:p w14:paraId="4765A873" w14:textId="1FA96535" w:rsidR="6F99D4C6" w:rsidRDefault="0F563A2D">
            <w:r w:rsidRPr="0F563A2D">
              <w:rPr>
                <w:rFonts w:eastAsia="Arial" w:cs="Arial"/>
                <w:color w:val="000000" w:themeColor="text1"/>
              </w:rPr>
              <w:t>2,3</w:t>
            </w:r>
          </w:p>
        </w:tc>
        <w:tc>
          <w:tcPr>
            <w:tcW w:w="1500" w:type="dxa"/>
            <w:tcBorders>
              <w:top w:val="nil"/>
              <w:left w:val="nil"/>
              <w:bottom w:val="single" w:sz="8" w:space="0" w:color="auto"/>
              <w:right w:val="nil"/>
            </w:tcBorders>
            <w:vAlign w:val="bottom"/>
          </w:tcPr>
          <w:p w14:paraId="3863F9A5" w14:textId="1A12F5C7" w:rsidR="6F99D4C6" w:rsidRDefault="0F563A2D">
            <w:r w:rsidRPr="0F563A2D">
              <w:rPr>
                <w:rFonts w:eastAsia="Arial" w:cs="Arial"/>
                <w:color w:val="000000" w:themeColor="text1"/>
              </w:rPr>
              <w:t>6,26</w:t>
            </w:r>
          </w:p>
        </w:tc>
        <w:tc>
          <w:tcPr>
            <w:tcW w:w="1725" w:type="dxa"/>
            <w:tcBorders>
              <w:top w:val="nil"/>
              <w:left w:val="nil"/>
              <w:bottom w:val="single" w:sz="8" w:space="0" w:color="auto"/>
              <w:right w:val="nil"/>
            </w:tcBorders>
            <w:vAlign w:val="bottom"/>
          </w:tcPr>
          <w:p w14:paraId="12F493CE" w14:textId="7FEE8D11" w:rsidR="6F99D4C6" w:rsidRDefault="0F563A2D">
            <w:r w:rsidRPr="0F563A2D">
              <w:rPr>
                <w:rFonts w:eastAsia="Arial" w:cs="Arial"/>
                <w:color w:val="000000" w:themeColor="text1"/>
              </w:rPr>
              <w:t>1,74</w:t>
            </w:r>
          </w:p>
        </w:tc>
      </w:tr>
      <w:tr w:rsidR="6F99D4C6" w14:paraId="1506A537" w14:textId="77777777" w:rsidTr="3287D6CA">
        <w:trPr>
          <w:trHeight w:val="315"/>
        </w:trPr>
        <w:tc>
          <w:tcPr>
            <w:tcW w:w="2415" w:type="dxa"/>
            <w:tcBorders>
              <w:top w:val="single" w:sz="8" w:space="0" w:color="auto"/>
              <w:left w:val="nil"/>
              <w:bottom w:val="single" w:sz="8" w:space="0" w:color="auto"/>
              <w:right w:val="nil"/>
            </w:tcBorders>
            <w:vAlign w:val="center"/>
          </w:tcPr>
          <w:p w14:paraId="4F687CBA" w14:textId="6473382B" w:rsidR="6F99D4C6" w:rsidRDefault="0F563A2D">
            <w:r w:rsidRPr="0F563A2D">
              <w:rPr>
                <w:rFonts w:eastAsia="Arial" w:cs="Arial"/>
                <w:b/>
                <w:bCs/>
                <w:color w:val="000000" w:themeColor="text1"/>
              </w:rPr>
              <w:t>CO2 price</w:t>
            </w:r>
          </w:p>
        </w:tc>
        <w:tc>
          <w:tcPr>
            <w:tcW w:w="1455" w:type="dxa"/>
            <w:tcBorders>
              <w:top w:val="single" w:sz="8" w:space="0" w:color="auto"/>
              <w:left w:val="nil"/>
              <w:bottom w:val="nil"/>
              <w:right w:val="nil"/>
            </w:tcBorders>
            <w:vAlign w:val="center"/>
          </w:tcPr>
          <w:p w14:paraId="3C735424" w14:textId="76A84E2F" w:rsidR="6F99D4C6" w:rsidRDefault="6F99D4C6"/>
        </w:tc>
        <w:tc>
          <w:tcPr>
            <w:tcW w:w="1500" w:type="dxa"/>
            <w:tcBorders>
              <w:top w:val="single" w:sz="8" w:space="0" w:color="auto"/>
              <w:left w:val="nil"/>
              <w:bottom w:val="nil"/>
              <w:right w:val="nil"/>
            </w:tcBorders>
            <w:vAlign w:val="bottom"/>
          </w:tcPr>
          <w:p w14:paraId="5E954C70" w14:textId="168C27B1" w:rsidR="6F99D4C6" w:rsidRDefault="6F99D4C6"/>
        </w:tc>
        <w:tc>
          <w:tcPr>
            <w:tcW w:w="1500" w:type="dxa"/>
            <w:tcBorders>
              <w:top w:val="single" w:sz="8" w:space="0" w:color="auto"/>
              <w:left w:val="nil"/>
              <w:bottom w:val="nil"/>
              <w:right w:val="nil"/>
            </w:tcBorders>
            <w:vAlign w:val="bottom"/>
          </w:tcPr>
          <w:p w14:paraId="5E5554FF" w14:textId="0C9A4DCC" w:rsidR="6F99D4C6" w:rsidRDefault="6F99D4C6"/>
        </w:tc>
        <w:tc>
          <w:tcPr>
            <w:tcW w:w="1725" w:type="dxa"/>
            <w:tcBorders>
              <w:top w:val="single" w:sz="8" w:space="0" w:color="auto"/>
              <w:left w:val="nil"/>
              <w:bottom w:val="nil"/>
              <w:right w:val="nil"/>
            </w:tcBorders>
            <w:vAlign w:val="bottom"/>
          </w:tcPr>
          <w:p w14:paraId="3103AF1F" w14:textId="48DF3B96" w:rsidR="6F99D4C6" w:rsidRDefault="6F99D4C6"/>
        </w:tc>
      </w:tr>
      <w:tr w:rsidR="6F99D4C6" w14:paraId="7994D562" w14:textId="77777777" w:rsidTr="3287D6CA">
        <w:trPr>
          <w:trHeight w:val="300"/>
        </w:trPr>
        <w:tc>
          <w:tcPr>
            <w:tcW w:w="2415" w:type="dxa"/>
            <w:tcBorders>
              <w:top w:val="single" w:sz="8" w:space="0" w:color="auto"/>
              <w:left w:val="nil"/>
              <w:bottom w:val="single" w:sz="8" w:space="0" w:color="auto"/>
              <w:right w:val="nil"/>
            </w:tcBorders>
            <w:vAlign w:val="center"/>
          </w:tcPr>
          <w:p w14:paraId="16F81CFA" w14:textId="4089E8CA" w:rsidR="6F99D4C6" w:rsidRDefault="3287D6CA" w:rsidP="3287D6CA">
            <w:pPr>
              <w:rPr>
                <w:rFonts w:eastAsia="Arial" w:cs="Arial"/>
                <w:color w:val="000000" w:themeColor="text1"/>
              </w:rPr>
            </w:pPr>
            <w:r w:rsidRPr="3287D6CA">
              <w:rPr>
                <w:rFonts w:eastAsia="Arial" w:cs="Arial"/>
                <w:color w:val="000000" w:themeColor="text1"/>
              </w:rPr>
              <w:t>CO2</w:t>
            </w:r>
          </w:p>
        </w:tc>
        <w:tc>
          <w:tcPr>
            <w:tcW w:w="1455" w:type="dxa"/>
            <w:tcBorders>
              <w:top w:val="single" w:sz="8" w:space="0" w:color="auto"/>
              <w:left w:val="nil"/>
              <w:bottom w:val="single" w:sz="8" w:space="0" w:color="auto"/>
              <w:right w:val="nil"/>
            </w:tcBorders>
            <w:vAlign w:val="center"/>
          </w:tcPr>
          <w:p w14:paraId="454BEFB0" w14:textId="7B4CAC70" w:rsidR="6F99D4C6" w:rsidRDefault="0F563A2D">
            <w:r w:rsidRPr="0F563A2D">
              <w:rPr>
                <w:rFonts w:eastAsia="Arial" w:cs="Arial"/>
                <w:color w:val="000000" w:themeColor="text1"/>
              </w:rPr>
              <w:t>27,04</w:t>
            </w:r>
          </w:p>
        </w:tc>
        <w:tc>
          <w:tcPr>
            <w:tcW w:w="1500" w:type="dxa"/>
            <w:tcBorders>
              <w:top w:val="single" w:sz="8" w:space="0" w:color="auto"/>
              <w:left w:val="nil"/>
              <w:bottom w:val="single" w:sz="8" w:space="0" w:color="auto"/>
              <w:right w:val="nil"/>
            </w:tcBorders>
            <w:vAlign w:val="center"/>
          </w:tcPr>
          <w:p w14:paraId="5552918D" w14:textId="47D2226C" w:rsidR="6F99D4C6" w:rsidRDefault="0F563A2D">
            <w:r w:rsidRPr="0F563A2D">
              <w:rPr>
                <w:rFonts w:eastAsia="Arial" w:cs="Arial"/>
                <w:color w:val="000000" w:themeColor="text1"/>
              </w:rPr>
              <w:t xml:space="preserve"> </w:t>
            </w:r>
          </w:p>
        </w:tc>
        <w:tc>
          <w:tcPr>
            <w:tcW w:w="1500" w:type="dxa"/>
            <w:tcBorders>
              <w:top w:val="single" w:sz="8" w:space="0" w:color="auto"/>
              <w:left w:val="nil"/>
              <w:bottom w:val="single" w:sz="8" w:space="0" w:color="auto"/>
              <w:right w:val="nil"/>
            </w:tcBorders>
            <w:vAlign w:val="center"/>
          </w:tcPr>
          <w:p w14:paraId="749A7563" w14:textId="2579C62E" w:rsidR="6F99D4C6" w:rsidRDefault="0F563A2D">
            <w:r w:rsidRPr="0F563A2D">
              <w:rPr>
                <w:rFonts w:eastAsia="Arial" w:cs="Arial"/>
                <w:color w:val="000000" w:themeColor="text1"/>
              </w:rPr>
              <w:t xml:space="preserve"> </w:t>
            </w:r>
          </w:p>
        </w:tc>
        <w:tc>
          <w:tcPr>
            <w:tcW w:w="1725" w:type="dxa"/>
            <w:tcBorders>
              <w:top w:val="single" w:sz="8" w:space="0" w:color="auto"/>
              <w:left w:val="nil"/>
              <w:bottom w:val="single" w:sz="8" w:space="0" w:color="auto"/>
              <w:right w:val="nil"/>
            </w:tcBorders>
            <w:vAlign w:val="center"/>
          </w:tcPr>
          <w:p w14:paraId="403ACBFE" w14:textId="6970C53E" w:rsidR="6F99D4C6" w:rsidRDefault="0F563A2D">
            <w:r w:rsidRPr="0F563A2D">
              <w:rPr>
                <w:rFonts w:eastAsia="Arial" w:cs="Arial"/>
                <w:color w:val="000000" w:themeColor="text1"/>
              </w:rPr>
              <w:t>103,5</w:t>
            </w:r>
          </w:p>
        </w:tc>
      </w:tr>
    </w:tbl>
    <w:p w14:paraId="5D3C9F09" w14:textId="77777777" w:rsidR="00844C51" w:rsidRDefault="00844C51">
      <w:pPr>
        <w:rPr>
          <w:i/>
          <w:iCs/>
          <w:color w:val="1F497D" w:themeColor="text2"/>
          <w:sz w:val="18"/>
          <w:szCs w:val="18"/>
        </w:rPr>
      </w:pPr>
      <w:r>
        <w:br w:type="page"/>
      </w:r>
    </w:p>
    <w:p w14:paraId="330A531A" w14:textId="64965C65" w:rsidR="00D26FBF" w:rsidRDefault="46E9B0E2" w:rsidP="00844C51">
      <w:pPr>
        <w:pStyle w:val="Caption"/>
        <w:keepNext/>
      </w:pPr>
      <w:r>
        <w:lastRenderedPageBreak/>
        <w:t xml:space="preserve">Table </w:t>
      </w:r>
      <w:r w:rsidR="00D26FBF">
        <w:fldChar w:fldCharType="begin"/>
      </w:r>
      <w:r w:rsidR="00D26FBF">
        <w:instrText xml:space="preserve"> SEQ Tabel \* ARABIC </w:instrText>
      </w:r>
      <w:r w:rsidR="00D26FBF">
        <w:fldChar w:fldCharType="separate"/>
      </w:r>
      <w:r w:rsidR="0056126B">
        <w:rPr>
          <w:noProof/>
        </w:rPr>
        <w:t>4</w:t>
      </w:r>
      <w:r w:rsidR="00D26FBF">
        <w:fldChar w:fldCharType="end"/>
      </w:r>
      <w:r>
        <w:t xml:space="preserve"> Variable O&amp;M cost</w:t>
      </w:r>
    </w:p>
    <w:tbl>
      <w:tblPr>
        <w:tblStyle w:val="TableGrid"/>
        <w:tblW w:w="0" w:type="auto"/>
        <w:tblLayout w:type="fixed"/>
        <w:tblLook w:val="06A0" w:firstRow="1" w:lastRow="0" w:firstColumn="1" w:lastColumn="0" w:noHBand="1" w:noVBand="1"/>
      </w:tblPr>
      <w:tblGrid>
        <w:gridCol w:w="1080"/>
        <w:gridCol w:w="1604"/>
        <w:gridCol w:w="2086"/>
      </w:tblGrid>
      <w:tr w:rsidR="6F99D4C6" w14:paraId="4E747D26" w14:textId="77777777" w:rsidTr="00844C51">
        <w:trPr>
          <w:trHeight w:val="1200"/>
        </w:trPr>
        <w:tc>
          <w:tcPr>
            <w:tcW w:w="1080" w:type="dxa"/>
            <w:vMerge w:val="restart"/>
            <w:tcBorders>
              <w:top w:val="single" w:sz="8" w:space="0" w:color="auto"/>
              <w:left w:val="single" w:sz="8" w:space="0" w:color="auto"/>
              <w:bottom w:val="single" w:sz="8" w:space="0" w:color="000000" w:themeColor="text1"/>
              <w:right w:val="single" w:sz="8" w:space="0" w:color="auto"/>
            </w:tcBorders>
            <w:shd w:val="clear" w:color="auto" w:fill="FFFF99"/>
            <w:vAlign w:val="bottom"/>
          </w:tcPr>
          <w:p w14:paraId="6354D408" w14:textId="125FEA95" w:rsidR="6F99D4C6" w:rsidRDefault="0F563A2D" w:rsidP="00844C51">
            <w:r w:rsidRPr="0F563A2D">
              <w:rPr>
                <w:rFonts w:eastAsia="Arial" w:cs="Arial"/>
                <w:color w:val="000000" w:themeColor="text1"/>
                <w:sz w:val="16"/>
                <w:szCs w:val="16"/>
              </w:rPr>
              <w:t>Fuel</w:t>
            </w:r>
          </w:p>
        </w:tc>
        <w:tc>
          <w:tcPr>
            <w:tcW w:w="1604" w:type="dxa"/>
            <w:vMerge w:val="restart"/>
            <w:tcBorders>
              <w:top w:val="single" w:sz="8" w:space="0" w:color="auto"/>
              <w:left w:val="single" w:sz="8" w:space="0" w:color="auto"/>
              <w:bottom w:val="single" w:sz="8" w:space="0" w:color="auto"/>
              <w:right w:val="single" w:sz="8" w:space="0" w:color="auto"/>
            </w:tcBorders>
            <w:shd w:val="clear" w:color="auto" w:fill="FFFF99"/>
            <w:vAlign w:val="bottom"/>
          </w:tcPr>
          <w:p w14:paraId="2F47D13D" w14:textId="7F905DBA" w:rsidR="6F99D4C6" w:rsidRDefault="0F563A2D" w:rsidP="6F99D4C6">
            <w:pPr>
              <w:jc w:val="center"/>
            </w:pPr>
            <w:r w:rsidRPr="0F563A2D">
              <w:rPr>
                <w:rFonts w:eastAsia="Arial" w:cs="Arial"/>
                <w:color w:val="000000" w:themeColor="text1"/>
                <w:sz w:val="16"/>
                <w:szCs w:val="16"/>
              </w:rPr>
              <w:t>Type</w:t>
            </w:r>
          </w:p>
        </w:tc>
        <w:tc>
          <w:tcPr>
            <w:tcW w:w="2086" w:type="dxa"/>
            <w:vMerge w:val="restart"/>
            <w:tcBorders>
              <w:top w:val="single" w:sz="8" w:space="0" w:color="auto"/>
              <w:left w:val="single" w:sz="8" w:space="0" w:color="auto"/>
              <w:bottom w:val="single" w:sz="8" w:space="0" w:color="auto"/>
              <w:right w:val="single" w:sz="8" w:space="0" w:color="auto"/>
            </w:tcBorders>
            <w:shd w:val="clear" w:color="auto" w:fill="FF8080"/>
            <w:vAlign w:val="bottom"/>
          </w:tcPr>
          <w:p w14:paraId="6C2CE55B" w14:textId="37035CC7" w:rsidR="6F99D4C6" w:rsidRDefault="0F563A2D" w:rsidP="6F99D4C6">
            <w:pPr>
              <w:jc w:val="center"/>
            </w:pPr>
            <w:r w:rsidRPr="0F563A2D">
              <w:rPr>
                <w:rFonts w:eastAsia="Arial" w:cs="Arial"/>
                <w:color w:val="000000" w:themeColor="text1"/>
                <w:sz w:val="16"/>
                <w:szCs w:val="16"/>
              </w:rPr>
              <w:t>Variable O&amp;M cost</w:t>
            </w:r>
          </w:p>
        </w:tc>
      </w:tr>
      <w:tr w:rsidR="6F99D4C6" w14:paraId="70BDE6CB" w14:textId="77777777" w:rsidTr="00844C51">
        <w:trPr>
          <w:trHeight w:val="300"/>
        </w:trPr>
        <w:tc>
          <w:tcPr>
            <w:tcW w:w="1080" w:type="dxa"/>
            <w:vMerge/>
            <w:vAlign w:val="center"/>
          </w:tcPr>
          <w:p w14:paraId="2DADBC6A" w14:textId="77777777" w:rsidR="00946ECC" w:rsidRDefault="00946ECC"/>
        </w:tc>
        <w:tc>
          <w:tcPr>
            <w:tcW w:w="1604" w:type="dxa"/>
            <w:vMerge/>
            <w:vAlign w:val="center"/>
          </w:tcPr>
          <w:p w14:paraId="4E28294F" w14:textId="77777777" w:rsidR="00946ECC" w:rsidRDefault="00946ECC"/>
        </w:tc>
        <w:tc>
          <w:tcPr>
            <w:tcW w:w="2086" w:type="dxa"/>
            <w:vMerge/>
            <w:vAlign w:val="center"/>
          </w:tcPr>
          <w:p w14:paraId="193333FC" w14:textId="77777777" w:rsidR="00946ECC" w:rsidRDefault="00946ECC"/>
        </w:tc>
      </w:tr>
      <w:tr w:rsidR="6F99D4C6" w14:paraId="7A452189" w14:textId="77777777" w:rsidTr="00844C51">
        <w:trPr>
          <w:trHeight w:val="300"/>
        </w:trPr>
        <w:tc>
          <w:tcPr>
            <w:tcW w:w="1080" w:type="dxa"/>
            <w:vMerge/>
            <w:vAlign w:val="center"/>
          </w:tcPr>
          <w:p w14:paraId="366B6357" w14:textId="77777777" w:rsidR="00946ECC" w:rsidRDefault="00946ECC"/>
        </w:tc>
        <w:tc>
          <w:tcPr>
            <w:tcW w:w="1604" w:type="dxa"/>
            <w:vMerge/>
            <w:vAlign w:val="center"/>
          </w:tcPr>
          <w:p w14:paraId="780588F0" w14:textId="77777777" w:rsidR="00946ECC" w:rsidRDefault="00946ECC"/>
        </w:tc>
        <w:tc>
          <w:tcPr>
            <w:tcW w:w="2086" w:type="dxa"/>
            <w:vMerge/>
            <w:vAlign w:val="center"/>
          </w:tcPr>
          <w:p w14:paraId="797AC227" w14:textId="77777777" w:rsidR="00946ECC" w:rsidRDefault="00946ECC"/>
        </w:tc>
      </w:tr>
      <w:tr w:rsidR="6F99D4C6" w14:paraId="6F140DCB" w14:textId="77777777" w:rsidTr="00844C51">
        <w:trPr>
          <w:trHeight w:val="300"/>
        </w:trPr>
        <w:tc>
          <w:tcPr>
            <w:tcW w:w="1080" w:type="dxa"/>
            <w:vMerge/>
            <w:vAlign w:val="center"/>
          </w:tcPr>
          <w:p w14:paraId="15FE97D3" w14:textId="77777777" w:rsidR="00946ECC" w:rsidRDefault="00946ECC"/>
        </w:tc>
        <w:tc>
          <w:tcPr>
            <w:tcW w:w="1604" w:type="dxa"/>
            <w:vMerge/>
            <w:vAlign w:val="center"/>
          </w:tcPr>
          <w:p w14:paraId="4A775482" w14:textId="77777777" w:rsidR="00946ECC" w:rsidRDefault="00946ECC"/>
        </w:tc>
        <w:tc>
          <w:tcPr>
            <w:tcW w:w="2086" w:type="dxa"/>
            <w:tcBorders>
              <w:top w:val="nil"/>
              <w:left w:val="nil"/>
              <w:bottom w:val="single" w:sz="8" w:space="0" w:color="auto"/>
              <w:right w:val="single" w:sz="8" w:space="0" w:color="auto"/>
            </w:tcBorders>
            <w:shd w:val="clear" w:color="auto" w:fill="FF8080"/>
            <w:vAlign w:val="bottom"/>
          </w:tcPr>
          <w:p w14:paraId="20A9A7AD" w14:textId="21CDEF0C" w:rsidR="6F99D4C6" w:rsidRDefault="0F563A2D" w:rsidP="6F99D4C6">
            <w:pPr>
              <w:jc w:val="center"/>
            </w:pPr>
            <w:r w:rsidRPr="0F563A2D">
              <w:rPr>
                <w:rFonts w:eastAsia="Arial" w:cs="Arial"/>
                <w:color w:val="000000" w:themeColor="text1"/>
                <w:sz w:val="16"/>
                <w:szCs w:val="16"/>
              </w:rPr>
              <w:t>€/MWh</w:t>
            </w:r>
          </w:p>
        </w:tc>
      </w:tr>
      <w:tr w:rsidR="6F99D4C6" w14:paraId="783591DA" w14:textId="77777777" w:rsidTr="00844C51">
        <w:trPr>
          <w:trHeight w:val="300"/>
        </w:trPr>
        <w:tc>
          <w:tcPr>
            <w:tcW w:w="1080" w:type="dxa"/>
            <w:tcBorders>
              <w:top w:val="nil"/>
              <w:left w:val="single" w:sz="8" w:space="0" w:color="auto"/>
              <w:bottom w:val="single" w:sz="8" w:space="0" w:color="auto"/>
              <w:right w:val="single" w:sz="8" w:space="0" w:color="auto"/>
            </w:tcBorders>
            <w:vAlign w:val="center"/>
          </w:tcPr>
          <w:p w14:paraId="65FCC791" w14:textId="28E74377" w:rsidR="6F99D4C6" w:rsidRDefault="0F563A2D">
            <w:r w:rsidRPr="0F563A2D">
              <w:rPr>
                <w:rFonts w:eastAsia="Arial" w:cs="Arial"/>
                <w:color w:val="000000" w:themeColor="text1"/>
                <w:sz w:val="16"/>
                <w:szCs w:val="16"/>
              </w:rPr>
              <w:t>Nuclear</w:t>
            </w:r>
          </w:p>
        </w:tc>
        <w:tc>
          <w:tcPr>
            <w:tcW w:w="1604" w:type="dxa"/>
            <w:tcBorders>
              <w:top w:val="nil"/>
              <w:left w:val="single" w:sz="8" w:space="0" w:color="auto"/>
              <w:bottom w:val="single" w:sz="8" w:space="0" w:color="auto"/>
              <w:right w:val="single" w:sz="8" w:space="0" w:color="auto"/>
            </w:tcBorders>
            <w:vAlign w:val="center"/>
          </w:tcPr>
          <w:p w14:paraId="45EC129F" w14:textId="716D970A" w:rsidR="6F99D4C6" w:rsidRDefault="0F563A2D">
            <w:r w:rsidRPr="0F563A2D">
              <w:rPr>
                <w:rFonts w:eastAsia="Arial" w:cs="Arial"/>
                <w:color w:val="000000" w:themeColor="text1"/>
                <w:sz w:val="16"/>
                <w:szCs w:val="16"/>
              </w:rPr>
              <w:t>-</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091D9D" w14:textId="78C0C692" w:rsidR="6F99D4C6" w:rsidRDefault="0F563A2D" w:rsidP="6F99D4C6">
            <w:pPr>
              <w:jc w:val="center"/>
            </w:pPr>
            <w:r w:rsidRPr="0F563A2D">
              <w:rPr>
                <w:rFonts w:eastAsia="Arial" w:cs="Arial"/>
                <w:color w:val="000000" w:themeColor="text1"/>
                <w:sz w:val="16"/>
                <w:szCs w:val="16"/>
              </w:rPr>
              <w:t>9</w:t>
            </w:r>
          </w:p>
        </w:tc>
      </w:tr>
      <w:tr w:rsidR="6F99D4C6" w14:paraId="5FD11A92"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6655BAEE" w14:textId="4CE5C2E0" w:rsidR="6F99D4C6" w:rsidRDefault="0F563A2D">
            <w:r w:rsidRPr="0F563A2D">
              <w:rPr>
                <w:rFonts w:eastAsia="Arial" w:cs="Arial"/>
                <w:color w:val="000000" w:themeColor="text1"/>
                <w:sz w:val="16"/>
                <w:szCs w:val="16"/>
              </w:rPr>
              <w:t>Hard coal</w:t>
            </w:r>
          </w:p>
        </w:tc>
        <w:tc>
          <w:tcPr>
            <w:tcW w:w="1604" w:type="dxa"/>
            <w:tcBorders>
              <w:top w:val="single" w:sz="8" w:space="0" w:color="auto"/>
              <w:left w:val="single" w:sz="8" w:space="0" w:color="auto"/>
              <w:bottom w:val="single" w:sz="8" w:space="0" w:color="auto"/>
              <w:right w:val="single" w:sz="8" w:space="0" w:color="auto"/>
            </w:tcBorders>
            <w:vAlign w:val="center"/>
          </w:tcPr>
          <w:p w14:paraId="0586D252" w14:textId="3745829F" w:rsidR="6F99D4C6" w:rsidRDefault="0F563A2D">
            <w:r w:rsidRPr="0F563A2D">
              <w:rPr>
                <w:rFonts w:eastAsia="Arial" w:cs="Arial"/>
                <w:color w:val="000000" w:themeColor="text1"/>
                <w:sz w:val="16"/>
                <w:szCs w:val="16"/>
              </w:rPr>
              <w:t>old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07B800" w14:textId="5C92A369" w:rsidR="6F99D4C6" w:rsidRDefault="0F563A2D" w:rsidP="6F99D4C6">
            <w:pPr>
              <w:jc w:val="center"/>
            </w:pPr>
            <w:r w:rsidRPr="0F563A2D">
              <w:rPr>
                <w:rFonts w:eastAsia="Arial" w:cs="Arial"/>
                <w:color w:val="000000" w:themeColor="text1"/>
                <w:sz w:val="16"/>
                <w:szCs w:val="16"/>
              </w:rPr>
              <w:t>3,3</w:t>
            </w:r>
          </w:p>
        </w:tc>
      </w:tr>
      <w:tr w:rsidR="6F99D4C6" w14:paraId="190A4A7E"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7FD2288F" w14:textId="29EEB2B6" w:rsidR="6F99D4C6" w:rsidRDefault="0F563A2D">
            <w:r w:rsidRPr="0F563A2D">
              <w:rPr>
                <w:rFonts w:eastAsia="Arial" w:cs="Arial"/>
                <w:color w:val="000000" w:themeColor="text1"/>
                <w:sz w:val="16"/>
                <w:szCs w:val="16"/>
              </w:rPr>
              <w:t>Hard coal</w:t>
            </w:r>
          </w:p>
        </w:tc>
        <w:tc>
          <w:tcPr>
            <w:tcW w:w="1604" w:type="dxa"/>
            <w:tcBorders>
              <w:top w:val="single" w:sz="8" w:space="0" w:color="auto"/>
              <w:left w:val="single" w:sz="8" w:space="0" w:color="auto"/>
              <w:bottom w:val="single" w:sz="8" w:space="0" w:color="auto"/>
              <w:right w:val="single" w:sz="8" w:space="0" w:color="auto"/>
            </w:tcBorders>
            <w:vAlign w:val="center"/>
          </w:tcPr>
          <w:p w14:paraId="5B9F7DA0" w14:textId="0029D613" w:rsidR="6F99D4C6" w:rsidRDefault="0F563A2D">
            <w:r w:rsidRPr="0F563A2D">
              <w:rPr>
                <w:rFonts w:eastAsia="Arial" w:cs="Arial"/>
                <w:color w:val="000000" w:themeColor="text1"/>
                <w:sz w:val="16"/>
                <w:szCs w:val="16"/>
              </w:rPr>
              <w:t>old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727E8B" w14:textId="6DB3A8F6" w:rsidR="6F99D4C6" w:rsidRDefault="0F563A2D" w:rsidP="6F99D4C6">
            <w:pPr>
              <w:jc w:val="center"/>
            </w:pPr>
            <w:r w:rsidRPr="0F563A2D">
              <w:rPr>
                <w:rFonts w:eastAsia="Arial" w:cs="Arial"/>
                <w:color w:val="000000" w:themeColor="text1"/>
                <w:sz w:val="16"/>
                <w:szCs w:val="16"/>
              </w:rPr>
              <w:t>3,3</w:t>
            </w:r>
          </w:p>
        </w:tc>
      </w:tr>
      <w:tr w:rsidR="6F99D4C6" w14:paraId="34A5C4E5" w14:textId="77777777" w:rsidTr="00844C51">
        <w:trPr>
          <w:trHeight w:val="300"/>
        </w:trPr>
        <w:tc>
          <w:tcPr>
            <w:tcW w:w="1080" w:type="dxa"/>
            <w:tcBorders>
              <w:top w:val="single" w:sz="8" w:space="0" w:color="auto"/>
              <w:left w:val="single" w:sz="8" w:space="0" w:color="auto"/>
              <w:bottom w:val="single" w:sz="8" w:space="0" w:color="000000" w:themeColor="text1"/>
              <w:right w:val="single" w:sz="8" w:space="0" w:color="auto"/>
            </w:tcBorders>
            <w:vAlign w:val="center"/>
          </w:tcPr>
          <w:p w14:paraId="69B701A9" w14:textId="2382950B" w:rsidR="6F99D4C6" w:rsidRDefault="0F563A2D">
            <w:r w:rsidRPr="0F563A2D">
              <w:rPr>
                <w:rFonts w:eastAsia="Arial" w:cs="Arial"/>
                <w:color w:val="000000" w:themeColor="text1"/>
                <w:sz w:val="16"/>
                <w:szCs w:val="16"/>
              </w:rPr>
              <w:t>Hard coal</w:t>
            </w:r>
          </w:p>
        </w:tc>
        <w:tc>
          <w:tcPr>
            <w:tcW w:w="1604" w:type="dxa"/>
            <w:tcBorders>
              <w:top w:val="single" w:sz="8" w:space="0" w:color="auto"/>
              <w:left w:val="single" w:sz="8" w:space="0" w:color="auto"/>
              <w:bottom w:val="single" w:sz="8" w:space="0" w:color="auto"/>
              <w:right w:val="single" w:sz="8" w:space="0" w:color="auto"/>
            </w:tcBorders>
            <w:vAlign w:val="center"/>
          </w:tcPr>
          <w:p w14:paraId="1ACEDF69" w14:textId="3609863E" w:rsidR="6F99D4C6" w:rsidRDefault="0F563A2D">
            <w:r w:rsidRPr="0F563A2D">
              <w:rPr>
                <w:rFonts w:eastAsia="Arial" w:cs="Arial"/>
                <w:color w:val="000000" w:themeColor="text1"/>
                <w:sz w:val="16"/>
                <w:szCs w:val="16"/>
              </w:rPr>
              <w:t>new</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0B20DF" w14:textId="45A78E99" w:rsidR="6F99D4C6" w:rsidRDefault="0F563A2D" w:rsidP="6F99D4C6">
            <w:pPr>
              <w:jc w:val="center"/>
            </w:pPr>
            <w:r w:rsidRPr="0F563A2D">
              <w:rPr>
                <w:rFonts w:eastAsia="Arial" w:cs="Arial"/>
                <w:color w:val="000000" w:themeColor="text1"/>
                <w:sz w:val="16"/>
                <w:szCs w:val="16"/>
              </w:rPr>
              <w:t>3,3</w:t>
            </w:r>
          </w:p>
        </w:tc>
      </w:tr>
      <w:tr w:rsidR="6F99D4C6" w14:paraId="628A559E"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61CB4ADC" w14:textId="69699DE6" w:rsidR="6F99D4C6" w:rsidRDefault="0F563A2D">
            <w:r w:rsidRPr="0F563A2D">
              <w:rPr>
                <w:rFonts w:eastAsia="Arial" w:cs="Arial"/>
                <w:color w:val="000000" w:themeColor="text1"/>
                <w:sz w:val="16"/>
                <w:szCs w:val="16"/>
              </w:rPr>
              <w:t>Hard coal</w:t>
            </w:r>
          </w:p>
        </w:tc>
        <w:tc>
          <w:tcPr>
            <w:tcW w:w="1604" w:type="dxa"/>
            <w:tcBorders>
              <w:top w:val="single" w:sz="8" w:space="0" w:color="auto"/>
              <w:left w:val="single" w:sz="8" w:space="0" w:color="auto"/>
              <w:bottom w:val="single" w:sz="8" w:space="0" w:color="auto"/>
              <w:right w:val="single" w:sz="8" w:space="0" w:color="auto"/>
            </w:tcBorders>
            <w:vAlign w:val="center"/>
          </w:tcPr>
          <w:p w14:paraId="6557A1D4" w14:textId="7A4AA2B6" w:rsidR="6F99D4C6" w:rsidRDefault="0F563A2D">
            <w:r w:rsidRPr="0F563A2D">
              <w:rPr>
                <w:rFonts w:eastAsia="Arial" w:cs="Arial"/>
                <w:color w:val="000000" w:themeColor="text1"/>
                <w:sz w:val="16"/>
                <w:szCs w:val="16"/>
              </w:rPr>
              <w:t>CCS</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AC6D29" w14:textId="07F9FEB4" w:rsidR="6F99D4C6" w:rsidRDefault="0F563A2D" w:rsidP="6F99D4C6">
            <w:pPr>
              <w:jc w:val="center"/>
            </w:pPr>
            <w:r w:rsidRPr="0F563A2D">
              <w:rPr>
                <w:rFonts w:eastAsia="Arial" w:cs="Arial"/>
                <w:color w:val="000000" w:themeColor="text1"/>
                <w:sz w:val="16"/>
                <w:szCs w:val="16"/>
              </w:rPr>
              <w:t>6,6</w:t>
            </w:r>
          </w:p>
        </w:tc>
      </w:tr>
      <w:tr w:rsidR="6F99D4C6" w14:paraId="535EB70B"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51102E94" w14:textId="7479DA47" w:rsidR="6F99D4C6" w:rsidRDefault="0F563A2D">
            <w:r w:rsidRPr="0F563A2D">
              <w:rPr>
                <w:rFonts w:eastAsia="Arial" w:cs="Arial"/>
                <w:color w:val="000000" w:themeColor="text1"/>
                <w:sz w:val="16"/>
                <w:szCs w:val="16"/>
              </w:rPr>
              <w:t>Lignite</w:t>
            </w:r>
          </w:p>
        </w:tc>
        <w:tc>
          <w:tcPr>
            <w:tcW w:w="1604" w:type="dxa"/>
            <w:tcBorders>
              <w:top w:val="single" w:sz="8" w:space="0" w:color="auto"/>
              <w:left w:val="single" w:sz="8" w:space="0" w:color="auto"/>
              <w:bottom w:val="single" w:sz="8" w:space="0" w:color="auto"/>
              <w:right w:val="single" w:sz="8" w:space="0" w:color="auto"/>
            </w:tcBorders>
            <w:vAlign w:val="center"/>
          </w:tcPr>
          <w:p w14:paraId="61538064" w14:textId="794B587D" w:rsidR="6F99D4C6" w:rsidRDefault="0F563A2D">
            <w:r w:rsidRPr="0F563A2D">
              <w:rPr>
                <w:rFonts w:eastAsia="Arial" w:cs="Arial"/>
                <w:color w:val="000000" w:themeColor="text1"/>
                <w:sz w:val="16"/>
                <w:szCs w:val="16"/>
              </w:rPr>
              <w:t>old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FBE254" w14:textId="680991A2" w:rsidR="6F99D4C6" w:rsidRDefault="0F563A2D" w:rsidP="6F99D4C6">
            <w:pPr>
              <w:jc w:val="center"/>
            </w:pPr>
            <w:r w:rsidRPr="0F563A2D">
              <w:rPr>
                <w:rFonts w:eastAsia="Arial" w:cs="Arial"/>
                <w:color w:val="000000" w:themeColor="text1"/>
                <w:sz w:val="16"/>
                <w:szCs w:val="16"/>
              </w:rPr>
              <w:t>3,3</w:t>
            </w:r>
          </w:p>
        </w:tc>
      </w:tr>
      <w:tr w:rsidR="6F99D4C6" w14:paraId="654AD6A9"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5655B470" w14:textId="7811C49A" w:rsidR="6F99D4C6" w:rsidRDefault="0F563A2D">
            <w:r w:rsidRPr="0F563A2D">
              <w:rPr>
                <w:rFonts w:eastAsia="Arial" w:cs="Arial"/>
                <w:color w:val="000000" w:themeColor="text1"/>
                <w:sz w:val="16"/>
                <w:szCs w:val="16"/>
              </w:rPr>
              <w:t>Lignite</w:t>
            </w:r>
          </w:p>
        </w:tc>
        <w:tc>
          <w:tcPr>
            <w:tcW w:w="1604" w:type="dxa"/>
            <w:tcBorders>
              <w:top w:val="single" w:sz="8" w:space="0" w:color="auto"/>
              <w:left w:val="single" w:sz="8" w:space="0" w:color="auto"/>
              <w:bottom w:val="single" w:sz="8" w:space="0" w:color="auto"/>
              <w:right w:val="single" w:sz="8" w:space="0" w:color="auto"/>
            </w:tcBorders>
            <w:vAlign w:val="center"/>
          </w:tcPr>
          <w:p w14:paraId="35D7CB56" w14:textId="1F6242AE" w:rsidR="6F99D4C6" w:rsidRDefault="0F563A2D">
            <w:r w:rsidRPr="0F563A2D">
              <w:rPr>
                <w:rFonts w:eastAsia="Arial" w:cs="Arial"/>
                <w:color w:val="000000" w:themeColor="text1"/>
                <w:sz w:val="16"/>
                <w:szCs w:val="16"/>
              </w:rPr>
              <w:t>old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657529" w14:textId="569984DD" w:rsidR="6F99D4C6" w:rsidRDefault="0F563A2D" w:rsidP="6F99D4C6">
            <w:pPr>
              <w:jc w:val="center"/>
            </w:pPr>
            <w:r w:rsidRPr="0F563A2D">
              <w:rPr>
                <w:rFonts w:eastAsia="Arial" w:cs="Arial"/>
                <w:color w:val="000000" w:themeColor="text1"/>
                <w:sz w:val="16"/>
                <w:szCs w:val="16"/>
              </w:rPr>
              <w:t>3,3</w:t>
            </w:r>
          </w:p>
        </w:tc>
      </w:tr>
      <w:tr w:rsidR="6F99D4C6" w14:paraId="4CE0ADF6"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04AB759D" w14:textId="256A0A8B" w:rsidR="6F99D4C6" w:rsidRDefault="0F563A2D">
            <w:r w:rsidRPr="0F563A2D">
              <w:rPr>
                <w:rFonts w:eastAsia="Arial" w:cs="Arial"/>
                <w:color w:val="000000" w:themeColor="text1"/>
                <w:sz w:val="16"/>
                <w:szCs w:val="16"/>
              </w:rPr>
              <w:t>Lignite</w:t>
            </w:r>
          </w:p>
        </w:tc>
        <w:tc>
          <w:tcPr>
            <w:tcW w:w="1604" w:type="dxa"/>
            <w:tcBorders>
              <w:top w:val="single" w:sz="8" w:space="0" w:color="auto"/>
              <w:left w:val="single" w:sz="8" w:space="0" w:color="auto"/>
              <w:bottom w:val="single" w:sz="8" w:space="0" w:color="auto"/>
              <w:right w:val="single" w:sz="8" w:space="0" w:color="auto"/>
            </w:tcBorders>
            <w:vAlign w:val="center"/>
          </w:tcPr>
          <w:p w14:paraId="112773A7" w14:textId="79F8FAEE" w:rsidR="6F99D4C6" w:rsidRDefault="0F563A2D">
            <w:r w:rsidRPr="0F563A2D">
              <w:rPr>
                <w:rFonts w:eastAsia="Arial" w:cs="Arial"/>
                <w:color w:val="000000" w:themeColor="text1"/>
                <w:sz w:val="16"/>
                <w:szCs w:val="16"/>
              </w:rPr>
              <w:t>new</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45D0B4" w14:textId="10F2174D" w:rsidR="6F99D4C6" w:rsidRDefault="0F563A2D" w:rsidP="6F99D4C6">
            <w:pPr>
              <w:jc w:val="center"/>
            </w:pPr>
            <w:r w:rsidRPr="0F563A2D">
              <w:rPr>
                <w:rFonts w:eastAsia="Arial" w:cs="Arial"/>
                <w:color w:val="000000" w:themeColor="text1"/>
                <w:sz w:val="16"/>
                <w:szCs w:val="16"/>
              </w:rPr>
              <w:t>3,3</w:t>
            </w:r>
          </w:p>
        </w:tc>
      </w:tr>
      <w:tr w:rsidR="6F99D4C6" w14:paraId="23E86715"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2ABF1EF6" w14:textId="28D5F20A" w:rsidR="6F99D4C6" w:rsidRDefault="0F563A2D">
            <w:r w:rsidRPr="0F563A2D">
              <w:rPr>
                <w:rFonts w:eastAsia="Arial" w:cs="Arial"/>
                <w:color w:val="000000" w:themeColor="text1"/>
                <w:sz w:val="16"/>
                <w:szCs w:val="16"/>
              </w:rPr>
              <w:t>Lignite</w:t>
            </w:r>
          </w:p>
        </w:tc>
        <w:tc>
          <w:tcPr>
            <w:tcW w:w="1604" w:type="dxa"/>
            <w:tcBorders>
              <w:top w:val="single" w:sz="8" w:space="0" w:color="auto"/>
              <w:left w:val="single" w:sz="8" w:space="0" w:color="auto"/>
              <w:bottom w:val="single" w:sz="8" w:space="0" w:color="auto"/>
              <w:right w:val="single" w:sz="8" w:space="0" w:color="auto"/>
            </w:tcBorders>
            <w:vAlign w:val="center"/>
          </w:tcPr>
          <w:p w14:paraId="553E3982" w14:textId="4DA8D199" w:rsidR="6F99D4C6" w:rsidRDefault="0F563A2D">
            <w:r w:rsidRPr="0F563A2D">
              <w:rPr>
                <w:rFonts w:eastAsia="Arial" w:cs="Arial"/>
                <w:color w:val="000000" w:themeColor="text1"/>
                <w:sz w:val="16"/>
                <w:szCs w:val="16"/>
              </w:rPr>
              <w:t>CCS</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2B1F15" w14:textId="0D4813A4" w:rsidR="6F99D4C6" w:rsidRDefault="0F563A2D" w:rsidP="6F99D4C6">
            <w:pPr>
              <w:jc w:val="center"/>
            </w:pPr>
            <w:r w:rsidRPr="0F563A2D">
              <w:rPr>
                <w:rFonts w:eastAsia="Arial" w:cs="Arial"/>
                <w:color w:val="000000" w:themeColor="text1"/>
                <w:sz w:val="16"/>
                <w:szCs w:val="16"/>
              </w:rPr>
              <w:t>6,6</w:t>
            </w:r>
          </w:p>
        </w:tc>
      </w:tr>
      <w:tr w:rsidR="6F99D4C6" w14:paraId="7015353E"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18FEFB49" w14:textId="36D50766"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00B7CEB9" w14:textId="6BD9BC5F" w:rsidR="6F99D4C6" w:rsidRDefault="0F563A2D">
            <w:r w:rsidRPr="0F563A2D">
              <w:rPr>
                <w:rFonts w:eastAsia="Arial" w:cs="Arial"/>
                <w:color w:val="000000" w:themeColor="text1"/>
                <w:sz w:val="16"/>
                <w:szCs w:val="16"/>
              </w:rPr>
              <w:t>conventional old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9F08BE" w14:textId="129EDABA" w:rsidR="6F99D4C6" w:rsidRDefault="0F563A2D" w:rsidP="6F99D4C6">
            <w:pPr>
              <w:jc w:val="center"/>
            </w:pPr>
            <w:r w:rsidRPr="0F563A2D">
              <w:rPr>
                <w:rFonts w:eastAsia="Arial" w:cs="Arial"/>
                <w:color w:val="000000" w:themeColor="text1"/>
                <w:sz w:val="16"/>
                <w:szCs w:val="16"/>
              </w:rPr>
              <w:t>1,1</w:t>
            </w:r>
          </w:p>
        </w:tc>
      </w:tr>
      <w:tr w:rsidR="6F99D4C6" w14:paraId="0A3E0FB4"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4E70DC8D" w14:textId="6A0D36AE"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7EFCAE01" w14:textId="44AB80FC" w:rsidR="6F99D4C6" w:rsidRDefault="0F563A2D">
            <w:r w:rsidRPr="0F563A2D">
              <w:rPr>
                <w:rFonts w:eastAsia="Arial" w:cs="Arial"/>
                <w:color w:val="000000" w:themeColor="text1"/>
                <w:sz w:val="16"/>
                <w:szCs w:val="16"/>
              </w:rPr>
              <w:t>conventional old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C924AB" w14:textId="0BAEC97A" w:rsidR="6F99D4C6" w:rsidRDefault="0F563A2D" w:rsidP="6F99D4C6">
            <w:pPr>
              <w:jc w:val="center"/>
            </w:pPr>
            <w:r w:rsidRPr="0F563A2D">
              <w:rPr>
                <w:rFonts w:eastAsia="Arial" w:cs="Arial"/>
                <w:color w:val="000000" w:themeColor="text1"/>
                <w:sz w:val="16"/>
                <w:szCs w:val="16"/>
              </w:rPr>
              <w:t>1,1</w:t>
            </w:r>
          </w:p>
        </w:tc>
      </w:tr>
      <w:tr w:rsidR="6F99D4C6" w14:paraId="0E449CE9"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342624F7" w14:textId="035A6B3A"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14561483" w14:textId="256D5827" w:rsidR="6F99D4C6" w:rsidRDefault="0F563A2D">
            <w:r w:rsidRPr="0F563A2D">
              <w:rPr>
                <w:rFonts w:eastAsia="Arial" w:cs="Arial"/>
                <w:color w:val="000000" w:themeColor="text1"/>
                <w:sz w:val="16"/>
                <w:szCs w:val="16"/>
              </w:rPr>
              <w:t>CCGT old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9A1E48" w14:textId="7BA5EE48" w:rsidR="6F99D4C6" w:rsidRDefault="0F563A2D" w:rsidP="6F99D4C6">
            <w:pPr>
              <w:jc w:val="center"/>
            </w:pPr>
            <w:r w:rsidRPr="0F563A2D">
              <w:rPr>
                <w:rFonts w:eastAsia="Arial" w:cs="Arial"/>
                <w:color w:val="000000" w:themeColor="text1"/>
                <w:sz w:val="16"/>
                <w:szCs w:val="16"/>
              </w:rPr>
              <w:t>1,6</w:t>
            </w:r>
          </w:p>
        </w:tc>
      </w:tr>
      <w:tr w:rsidR="6F99D4C6" w14:paraId="4CC9D491"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3085E2EF" w14:textId="56EC5A24"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0662524A" w14:textId="6CD8A35F" w:rsidR="6F99D4C6" w:rsidRDefault="0F563A2D">
            <w:r w:rsidRPr="0F563A2D">
              <w:rPr>
                <w:rFonts w:eastAsia="Arial" w:cs="Arial"/>
                <w:color w:val="000000" w:themeColor="text1"/>
                <w:sz w:val="16"/>
                <w:szCs w:val="16"/>
              </w:rPr>
              <w:t>CCGT old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856126" w14:textId="6E992B8F" w:rsidR="6F99D4C6" w:rsidRDefault="0F563A2D" w:rsidP="6F99D4C6">
            <w:pPr>
              <w:jc w:val="center"/>
            </w:pPr>
            <w:r w:rsidRPr="0F563A2D">
              <w:rPr>
                <w:rFonts w:eastAsia="Arial" w:cs="Arial"/>
                <w:color w:val="000000" w:themeColor="text1"/>
                <w:sz w:val="16"/>
                <w:szCs w:val="16"/>
              </w:rPr>
              <w:t>1,6</w:t>
            </w:r>
          </w:p>
        </w:tc>
      </w:tr>
      <w:tr w:rsidR="6F99D4C6" w14:paraId="592B0637"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798EF9F3" w14:textId="54A881B6"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7389220C" w14:textId="15C54DC1" w:rsidR="6F99D4C6" w:rsidRDefault="0F563A2D">
            <w:r w:rsidRPr="0F563A2D">
              <w:rPr>
                <w:rFonts w:eastAsia="Arial" w:cs="Arial"/>
                <w:color w:val="000000" w:themeColor="text1"/>
                <w:sz w:val="16"/>
                <w:szCs w:val="16"/>
              </w:rPr>
              <w:t>CCGT present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3C4180" w14:textId="46E8B416" w:rsidR="6F99D4C6" w:rsidRDefault="0F563A2D" w:rsidP="6F99D4C6">
            <w:pPr>
              <w:jc w:val="center"/>
            </w:pPr>
            <w:r w:rsidRPr="0F563A2D">
              <w:rPr>
                <w:rFonts w:eastAsia="Arial" w:cs="Arial"/>
                <w:color w:val="000000" w:themeColor="text1"/>
                <w:sz w:val="16"/>
                <w:szCs w:val="16"/>
              </w:rPr>
              <w:t>1,6</w:t>
            </w:r>
          </w:p>
        </w:tc>
      </w:tr>
      <w:tr w:rsidR="6F99D4C6" w14:paraId="004C622C"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056071D6" w14:textId="3CAECF7D"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461CDC92" w14:textId="00541D8B" w:rsidR="6F99D4C6" w:rsidRDefault="0F563A2D">
            <w:r w:rsidRPr="0F563A2D">
              <w:rPr>
                <w:rFonts w:eastAsia="Arial" w:cs="Arial"/>
                <w:color w:val="000000" w:themeColor="text1"/>
                <w:sz w:val="16"/>
                <w:szCs w:val="16"/>
              </w:rPr>
              <w:t>CCGT present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88120A" w14:textId="41CFA18D" w:rsidR="6F99D4C6" w:rsidRDefault="0F563A2D" w:rsidP="6F99D4C6">
            <w:pPr>
              <w:jc w:val="center"/>
            </w:pPr>
            <w:r w:rsidRPr="0F563A2D">
              <w:rPr>
                <w:rFonts w:eastAsia="Arial" w:cs="Arial"/>
                <w:color w:val="000000" w:themeColor="text1"/>
                <w:sz w:val="16"/>
                <w:szCs w:val="16"/>
              </w:rPr>
              <w:t>1,6</w:t>
            </w:r>
          </w:p>
        </w:tc>
      </w:tr>
      <w:tr w:rsidR="6F99D4C6" w14:paraId="604C7A72"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3E962B98" w14:textId="55702B75"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1BD7CCA4" w14:textId="5DC4B3DA" w:rsidR="6F99D4C6" w:rsidRDefault="0F563A2D">
            <w:r w:rsidRPr="0F563A2D">
              <w:rPr>
                <w:rFonts w:eastAsia="Arial" w:cs="Arial"/>
                <w:color w:val="000000" w:themeColor="text1"/>
                <w:sz w:val="16"/>
                <w:szCs w:val="16"/>
              </w:rPr>
              <w:t>CCGT new</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64547C" w14:textId="3BF35ED9" w:rsidR="6F99D4C6" w:rsidRDefault="0F563A2D" w:rsidP="6F99D4C6">
            <w:pPr>
              <w:jc w:val="center"/>
            </w:pPr>
            <w:r w:rsidRPr="0F563A2D">
              <w:rPr>
                <w:rFonts w:eastAsia="Arial" w:cs="Arial"/>
                <w:color w:val="000000" w:themeColor="text1"/>
                <w:sz w:val="16"/>
                <w:szCs w:val="16"/>
              </w:rPr>
              <w:t>1,6</w:t>
            </w:r>
          </w:p>
        </w:tc>
      </w:tr>
      <w:tr w:rsidR="6F99D4C6" w14:paraId="1DF61FFC"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660DE474" w14:textId="3D041DD2"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09EEDDE0" w14:textId="66D2FF2B" w:rsidR="6F99D4C6" w:rsidRDefault="0F563A2D">
            <w:r w:rsidRPr="0F563A2D">
              <w:rPr>
                <w:rFonts w:eastAsia="Arial" w:cs="Arial"/>
                <w:color w:val="000000" w:themeColor="text1"/>
                <w:sz w:val="16"/>
                <w:szCs w:val="16"/>
              </w:rPr>
              <w:t>CCGT CCS</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DFABF8" w14:textId="4FB55EC1" w:rsidR="6F99D4C6" w:rsidRDefault="0F563A2D" w:rsidP="6F99D4C6">
            <w:pPr>
              <w:jc w:val="center"/>
            </w:pPr>
            <w:r w:rsidRPr="0F563A2D">
              <w:rPr>
                <w:rFonts w:eastAsia="Arial" w:cs="Arial"/>
                <w:color w:val="000000" w:themeColor="text1"/>
                <w:sz w:val="16"/>
                <w:szCs w:val="16"/>
              </w:rPr>
              <w:t>3,2</w:t>
            </w:r>
          </w:p>
        </w:tc>
      </w:tr>
      <w:tr w:rsidR="6F99D4C6" w14:paraId="653D6931"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4F5205C9" w14:textId="4E67DD7B"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5D1C7D37" w14:textId="33AC21CB" w:rsidR="6F99D4C6" w:rsidRDefault="0F563A2D">
            <w:r w:rsidRPr="0F563A2D">
              <w:rPr>
                <w:rFonts w:eastAsia="Arial" w:cs="Arial"/>
                <w:color w:val="000000" w:themeColor="text1"/>
                <w:sz w:val="16"/>
                <w:szCs w:val="16"/>
              </w:rPr>
              <w:t>OCGT old</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3E275" w14:textId="6D59767F" w:rsidR="6F99D4C6" w:rsidRDefault="0F563A2D" w:rsidP="6F99D4C6">
            <w:pPr>
              <w:jc w:val="center"/>
            </w:pPr>
            <w:r w:rsidRPr="0F563A2D">
              <w:rPr>
                <w:rFonts w:eastAsia="Arial" w:cs="Arial"/>
                <w:color w:val="000000" w:themeColor="text1"/>
                <w:sz w:val="16"/>
                <w:szCs w:val="16"/>
              </w:rPr>
              <w:t>1,6</w:t>
            </w:r>
          </w:p>
        </w:tc>
      </w:tr>
      <w:tr w:rsidR="6F99D4C6" w14:paraId="1DDCEFCA"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429052FC" w14:textId="019F5CEA" w:rsidR="6F99D4C6" w:rsidRDefault="0F563A2D">
            <w:r w:rsidRPr="0F563A2D">
              <w:rPr>
                <w:rFonts w:eastAsia="Arial" w:cs="Arial"/>
                <w:color w:val="000000" w:themeColor="text1"/>
                <w:sz w:val="16"/>
                <w:szCs w:val="16"/>
              </w:rPr>
              <w:t>Gas</w:t>
            </w:r>
          </w:p>
        </w:tc>
        <w:tc>
          <w:tcPr>
            <w:tcW w:w="1604" w:type="dxa"/>
            <w:tcBorders>
              <w:top w:val="single" w:sz="8" w:space="0" w:color="auto"/>
              <w:left w:val="single" w:sz="8" w:space="0" w:color="auto"/>
              <w:bottom w:val="single" w:sz="8" w:space="0" w:color="auto"/>
              <w:right w:val="single" w:sz="8" w:space="0" w:color="auto"/>
            </w:tcBorders>
            <w:vAlign w:val="center"/>
          </w:tcPr>
          <w:p w14:paraId="7E1EB10A" w14:textId="27B653C5" w:rsidR="6F99D4C6" w:rsidRDefault="0F563A2D">
            <w:r w:rsidRPr="0F563A2D">
              <w:rPr>
                <w:rFonts w:eastAsia="Arial" w:cs="Arial"/>
                <w:color w:val="000000" w:themeColor="text1"/>
                <w:sz w:val="16"/>
                <w:szCs w:val="16"/>
              </w:rPr>
              <w:t>OCGT new</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7DEB30" w14:textId="199180B9" w:rsidR="6F99D4C6" w:rsidRDefault="0F563A2D" w:rsidP="6F99D4C6">
            <w:pPr>
              <w:jc w:val="center"/>
            </w:pPr>
            <w:r w:rsidRPr="0F563A2D">
              <w:rPr>
                <w:rFonts w:eastAsia="Arial" w:cs="Arial"/>
                <w:color w:val="000000" w:themeColor="text1"/>
                <w:sz w:val="16"/>
                <w:szCs w:val="16"/>
              </w:rPr>
              <w:t>1,6</w:t>
            </w:r>
          </w:p>
        </w:tc>
      </w:tr>
      <w:tr w:rsidR="6F99D4C6" w14:paraId="5C0D134A"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0E6E591B" w14:textId="3FCB4768" w:rsidR="6F99D4C6" w:rsidRDefault="0F563A2D">
            <w:r w:rsidRPr="0F563A2D">
              <w:rPr>
                <w:rFonts w:eastAsia="Arial" w:cs="Arial"/>
                <w:color w:val="000000" w:themeColor="text1"/>
                <w:sz w:val="16"/>
                <w:szCs w:val="16"/>
              </w:rPr>
              <w:t>Light oil</w:t>
            </w:r>
          </w:p>
        </w:tc>
        <w:tc>
          <w:tcPr>
            <w:tcW w:w="1604" w:type="dxa"/>
            <w:tcBorders>
              <w:top w:val="single" w:sz="8" w:space="0" w:color="auto"/>
              <w:left w:val="single" w:sz="8" w:space="0" w:color="auto"/>
              <w:bottom w:val="single" w:sz="8" w:space="0" w:color="auto"/>
              <w:right w:val="single" w:sz="8" w:space="0" w:color="auto"/>
            </w:tcBorders>
            <w:vAlign w:val="center"/>
          </w:tcPr>
          <w:p w14:paraId="6DC390AF" w14:textId="21F37061" w:rsidR="6F99D4C6" w:rsidRDefault="0F563A2D">
            <w:r w:rsidRPr="0F563A2D">
              <w:rPr>
                <w:rFonts w:eastAsia="Arial" w:cs="Arial"/>
                <w:color w:val="000000" w:themeColor="text1"/>
                <w:sz w:val="16"/>
                <w:szCs w:val="16"/>
              </w:rPr>
              <w:t>-</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795EA4" w14:textId="729FC9AE" w:rsidR="6F99D4C6" w:rsidRDefault="0F563A2D" w:rsidP="6F99D4C6">
            <w:pPr>
              <w:jc w:val="center"/>
            </w:pPr>
            <w:r w:rsidRPr="0F563A2D">
              <w:rPr>
                <w:rFonts w:eastAsia="Arial" w:cs="Arial"/>
                <w:color w:val="000000" w:themeColor="text1"/>
                <w:sz w:val="16"/>
                <w:szCs w:val="16"/>
              </w:rPr>
              <w:t>1,1</w:t>
            </w:r>
          </w:p>
        </w:tc>
      </w:tr>
      <w:tr w:rsidR="6F99D4C6" w14:paraId="14972DAB"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13F11F8E" w14:textId="1E2332B1" w:rsidR="6F99D4C6" w:rsidRDefault="0F563A2D">
            <w:r w:rsidRPr="0F563A2D">
              <w:rPr>
                <w:rFonts w:eastAsia="Arial" w:cs="Arial"/>
                <w:color w:val="000000" w:themeColor="text1"/>
                <w:sz w:val="16"/>
                <w:szCs w:val="16"/>
              </w:rPr>
              <w:t>Heavy oil</w:t>
            </w:r>
          </w:p>
        </w:tc>
        <w:tc>
          <w:tcPr>
            <w:tcW w:w="1604" w:type="dxa"/>
            <w:tcBorders>
              <w:top w:val="single" w:sz="8" w:space="0" w:color="auto"/>
              <w:left w:val="single" w:sz="8" w:space="0" w:color="auto"/>
              <w:bottom w:val="single" w:sz="8" w:space="0" w:color="auto"/>
              <w:right w:val="single" w:sz="8" w:space="0" w:color="auto"/>
            </w:tcBorders>
            <w:vAlign w:val="center"/>
          </w:tcPr>
          <w:p w14:paraId="6E175CBD" w14:textId="6EE4A7FE" w:rsidR="6F99D4C6" w:rsidRDefault="0F563A2D">
            <w:r w:rsidRPr="0F563A2D">
              <w:rPr>
                <w:rFonts w:eastAsia="Arial" w:cs="Arial"/>
                <w:color w:val="000000" w:themeColor="text1"/>
                <w:sz w:val="16"/>
                <w:szCs w:val="16"/>
              </w:rPr>
              <w:t>old 1</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64B363" w14:textId="01080407" w:rsidR="6F99D4C6" w:rsidRDefault="0F563A2D" w:rsidP="6F99D4C6">
            <w:pPr>
              <w:jc w:val="center"/>
            </w:pPr>
            <w:r w:rsidRPr="0F563A2D">
              <w:rPr>
                <w:rFonts w:eastAsia="Arial" w:cs="Arial"/>
                <w:color w:val="000000" w:themeColor="text1"/>
                <w:sz w:val="16"/>
                <w:szCs w:val="16"/>
              </w:rPr>
              <w:t>3,3</w:t>
            </w:r>
          </w:p>
        </w:tc>
      </w:tr>
      <w:tr w:rsidR="6F99D4C6" w14:paraId="21EB4DD3"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57FCDE35" w14:textId="6B12B463" w:rsidR="6F99D4C6" w:rsidRDefault="0F563A2D">
            <w:r w:rsidRPr="0F563A2D">
              <w:rPr>
                <w:rFonts w:eastAsia="Arial" w:cs="Arial"/>
                <w:color w:val="000000" w:themeColor="text1"/>
                <w:sz w:val="16"/>
                <w:szCs w:val="16"/>
              </w:rPr>
              <w:t>Heavy oil</w:t>
            </w:r>
          </w:p>
        </w:tc>
        <w:tc>
          <w:tcPr>
            <w:tcW w:w="1604" w:type="dxa"/>
            <w:tcBorders>
              <w:top w:val="single" w:sz="8" w:space="0" w:color="auto"/>
              <w:left w:val="single" w:sz="8" w:space="0" w:color="auto"/>
              <w:bottom w:val="single" w:sz="8" w:space="0" w:color="auto"/>
              <w:right w:val="single" w:sz="8" w:space="0" w:color="auto"/>
            </w:tcBorders>
            <w:vAlign w:val="center"/>
          </w:tcPr>
          <w:p w14:paraId="34F378F4" w14:textId="59F2D783" w:rsidR="6F99D4C6" w:rsidRDefault="0F563A2D">
            <w:r w:rsidRPr="0F563A2D">
              <w:rPr>
                <w:rFonts w:eastAsia="Arial" w:cs="Arial"/>
                <w:color w:val="000000" w:themeColor="text1"/>
                <w:sz w:val="16"/>
                <w:szCs w:val="16"/>
              </w:rPr>
              <w:t>old 2</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E2A5B0" w14:textId="4089BC84" w:rsidR="6F99D4C6" w:rsidRDefault="0F563A2D" w:rsidP="6F99D4C6">
            <w:pPr>
              <w:jc w:val="center"/>
            </w:pPr>
            <w:r w:rsidRPr="0F563A2D">
              <w:rPr>
                <w:rFonts w:eastAsia="Arial" w:cs="Arial"/>
                <w:color w:val="000000" w:themeColor="text1"/>
                <w:sz w:val="16"/>
                <w:szCs w:val="16"/>
              </w:rPr>
              <w:t>3,3</w:t>
            </w:r>
          </w:p>
        </w:tc>
      </w:tr>
      <w:tr w:rsidR="6F99D4C6" w14:paraId="1DDD0652"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4DCF8478" w14:textId="5405470C" w:rsidR="6F99D4C6" w:rsidRDefault="0F563A2D">
            <w:r w:rsidRPr="0F563A2D">
              <w:rPr>
                <w:rFonts w:eastAsia="Arial" w:cs="Arial"/>
                <w:color w:val="000000" w:themeColor="text1"/>
                <w:sz w:val="16"/>
                <w:szCs w:val="16"/>
              </w:rPr>
              <w:t>Oil shale</w:t>
            </w:r>
          </w:p>
        </w:tc>
        <w:tc>
          <w:tcPr>
            <w:tcW w:w="1604" w:type="dxa"/>
            <w:tcBorders>
              <w:top w:val="single" w:sz="8" w:space="0" w:color="auto"/>
              <w:left w:val="single" w:sz="8" w:space="0" w:color="auto"/>
              <w:bottom w:val="single" w:sz="8" w:space="0" w:color="auto"/>
              <w:right w:val="single" w:sz="8" w:space="0" w:color="auto"/>
            </w:tcBorders>
            <w:vAlign w:val="center"/>
          </w:tcPr>
          <w:p w14:paraId="51260919" w14:textId="49FA9743" w:rsidR="6F99D4C6" w:rsidRDefault="0F563A2D">
            <w:r w:rsidRPr="0F563A2D">
              <w:rPr>
                <w:rFonts w:eastAsia="Arial" w:cs="Arial"/>
                <w:color w:val="000000" w:themeColor="text1"/>
                <w:sz w:val="16"/>
                <w:szCs w:val="16"/>
              </w:rPr>
              <w:t>old</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F221F7" w14:textId="19D52364" w:rsidR="6F99D4C6" w:rsidRDefault="0F563A2D" w:rsidP="6F99D4C6">
            <w:pPr>
              <w:jc w:val="center"/>
            </w:pPr>
            <w:r w:rsidRPr="0F563A2D">
              <w:rPr>
                <w:rFonts w:eastAsia="Arial" w:cs="Arial"/>
                <w:color w:val="000000" w:themeColor="text1"/>
                <w:sz w:val="16"/>
                <w:szCs w:val="16"/>
              </w:rPr>
              <w:t>3,3</w:t>
            </w:r>
          </w:p>
        </w:tc>
      </w:tr>
      <w:tr w:rsidR="6F99D4C6" w14:paraId="1A1DF94D" w14:textId="77777777" w:rsidTr="00844C51">
        <w:trPr>
          <w:trHeight w:val="300"/>
        </w:trPr>
        <w:tc>
          <w:tcPr>
            <w:tcW w:w="1080" w:type="dxa"/>
            <w:tcBorders>
              <w:top w:val="single" w:sz="8" w:space="0" w:color="auto"/>
              <w:left w:val="single" w:sz="8" w:space="0" w:color="auto"/>
              <w:bottom w:val="single" w:sz="8" w:space="0" w:color="auto"/>
              <w:right w:val="single" w:sz="8" w:space="0" w:color="auto"/>
            </w:tcBorders>
            <w:vAlign w:val="center"/>
          </w:tcPr>
          <w:p w14:paraId="7996BEB2" w14:textId="29422916" w:rsidR="6F99D4C6" w:rsidRDefault="0F563A2D">
            <w:r w:rsidRPr="0F563A2D">
              <w:rPr>
                <w:rFonts w:eastAsia="Arial" w:cs="Arial"/>
                <w:color w:val="000000" w:themeColor="text1"/>
                <w:sz w:val="16"/>
                <w:szCs w:val="16"/>
              </w:rPr>
              <w:t>Oil shale</w:t>
            </w:r>
          </w:p>
        </w:tc>
        <w:tc>
          <w:tcPr>
            <w:tcW w:w="1604" w:type="dxa"/>
            <w:tcBorders>
              <w:top w:val="single" w:sz="8" w:space="0" w:color="auto"/>
              <w:left w:val="single" w:sz="8" w:space="0" w:color="auto"/>
              <w:bottom w:val="single" w:sz="8" w:space="0" w:color="auto"/>
              <w:right w:val="single" w:sz="8" w:space="0" w:color="auto"/>
            </w:tcBorders>
            <w:vAlign w:val="center"/>
          </w:tcPr>
          <w:p w14:paraId="72D6C6E1" w14:textId="5B59745A" w:rsidR="6F99D4C6" w:rsidRDefault="0F563A2D">
            <w:r w:rsidRPr="0F563A2D">
              <w:rPr>
                <w:rFonts w:eastAsia="Arial" w:cs="Arial"/>
                <w:color w:val="000000" w:themeColor="text1"/>
                <w:sz w:val="16"/>
                <w:szCs w:val="16"/>
              </w:rPr>
              <w:t>new</w:t>
            </w:r>
          </w:p>
        </w:tc>
        <w:tc>
          <w:tcPr>
            <w:tcW w:w="20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5A136F" w14:textId="4D681E21" w:rsidR="6F99D4C6" w:rsidRDefault="0F563A2D" w:rsidP="6F99D4C6">
            <w:pPr>
              <w:jc w:val="center"/>
            </w:pPr>
            <w:r w:rsidRPr="0F563A2D">
              <w:rPr>
                <w:rFonts w:eastAsia="Arial" w:cs="Arial"/>
                <w:color w:val="000000" w:themeColor="text1"/>
                <w:sz w:val="16"/>
                <w:szCs w:val="16"/>
              </w:rPr>
              <w:t>3,3</w:t>
            </w:r>
          </w:p>
        </w:tc>
      </w:tr>
    </w:tbl>
    <w:p w14:paraId="436C1409" w14:textId="4EA6963F" w:rsidR="6F99D4C6" w:rsidRDefault="6F99D4C6" w:rsidP="6F99D4C6">
      <w:pPr>
        <w:rPr>
          <w:rFonts w:eastAsia="Calibri" w:cs="Arial"/>
        </w:rPr>
      </w:pPr>
    </w:p>
    <w:p w14:paraId="26C8B887" w14:textId="456818BD" w:rsidR="002D55B1" w:rsidRPr="006E1E69" w:rsidRDefault="3287D6CA" w:rsidP="003E61F3">
      <w:pPr>
        <w:pStyle w:val="Heading2"/>
      </w:pPr>
      <w:bookmarkStart w:id="61" w:name="_Toc115995531"/>
      <w:bookmarkStart w:id="62" w:name="_Toc119592606"/>
      <w:bookmarkStart w:id="63" w:name="_Toc120696707"/>
      <w:r>
        <w:t xml:space="preserve">Additional costs used for the </w:t>
      </w:r>
      <w:proofErr w:type="spellStart"/>
      <w:r>
        <w:t>redispatching</w:t>
      </w:r>
      <w:proofErr w:type="spellEnd"/>
      <w:r>
        <w:t xml:space="preserve"> mechanism including specific opportunity costs, readiness costs and any other cost related to the participation to </w:t>
      </w:r>
      <w:proofErr w:type="spellStart"/>
      <w:r>
        <w:t>redispatching</w:t>
      </w:r>
      <w:bookmarkEnd w:id="61"/>
      <w:bookmarkEnd w:id="62"/>
      <w:bookmarkEnd w:id="63"/>
      <w:proofErr w:type="spellEnd"/>
    </w:p>
    <w:p w14:paraId="167B29CE" w14:textId="7EAE3841" w:rsidR="6F99D4C6" w:rsidRDefault="3287D6CA" w:rsidP="6F99D4C6">
      <w:pPr>
        <w:rPr>
          <w:rFonts w:eastAsia="Calibri" w:cs="Arial"/>
        </w:rPr>
      </w:pPr>
      <w:r w:rsidRPr="3287D6CA">
        <w:rPr>
          <w:rFonts w:eastAsia="Calibri" w:cs="Arial"/>
        </w:rPr>
        <w:t>Nordic are using the same costs as Central Europe region, for the values, please see the document published by Central Europe TSOs.</w:t>
      </w:r>
    </w:p>
    <w:p w14:paraId="686E832A" w14:textId="2DEC1D28" w:rsidR="6F99D4C6" w:rsidRDefault="0F563A2D" w:rsidP="6F99D4C6">
      <w:pPr>
        <w:rPr>
          <w:rFonts w:eastAsia="Calibri" w:cs="Arial"/>
        </w:rPr>
      </w:pPr>
      <w:r w:rsidRPr="0F563A2D">
        <w:rPr>
          <w:rFonts w:eastAsia="Calibri" w:cs="Arial"/>
        </w:rPr>
        <w:t xml:space="preserve">In the Nordic context the redispatch is currently done rarely and in general the main source for redispatch is through the balancing market such, that in case of simultaneous balancing and redispatch needs, the more expensive bids activated are allocated to redispatch. </w:t>
      </w:r>
    </w:p>
    <w:p w14:paraId="3227912F" w14:textId="6F4B2799" w:rsidR="6F99D4C6" w:rsidRDefault="3287D6CA" w:rsidP="6F99D4C6">
      <w:pPr>
        <w:rPr>
          <w:rFonts w:eastAsia="Calibri" w:cs="Arial"/>
        </w:rPr>
      </w:pPr>
      <w:r w:rsidRPr="3287D6CA">
        <w:rPr>
          <w:rFonts w:eastAsia="Calibri" w:cs="Arial"/>
        </w:rPr>
        <w:lastRenderedPageBreak/>
        <w:t xml:space="preserve">Nordics do not have data, which would enable calculating the mark-up cost according to Art 9.4 and 9.5, as the bids TSOs receive from BRPs are assumed to include also profit, and the price of bids used for the redispatch are also affected by the instant balancing situation. Please see more information: </w:t>
      </w:r>
      <w:hyperlink r:id="rId20">
        <w:r w:rsidRPr="3287D6CA">
          <w:rPr>
            <w:rStyle w:val="Hyperlink"/>
            <w:rFonts w:eastAsia="Calibri" w:cs="Arial"/>
          </w:rPr>
          <w:t>https://www.fingrid.fi/globalassets/dokumentit/fi/sahkomarkkinat/kehityshankkeet/balancing-philosophy-updated-211110.pdf</w:t>
        </w:r>
      </w:hyperlink>
      <w:r w:rsidRPr="3287D6CA">
        <w:rPr>
          <w:rFonts w:eastAsia="Calibri" w:cs="Arial"/>
        </w:rPr>
        <w:t xml:space="preserve"> (Page 14, Use of </w:t>
      </w:r>
      <w:proofErr w:type="spellStart"/>
      <w:r w:rsidRPr="3287D6CA">
        <w:rPr>
          <w:rFonts w:eastAsia="Calibri" w:cs="Arial"/>
        </w:rPr>
        <w:t>mFRR</w:t>
      </w:r>
      <w:proofErr w:type="spellEnd"/>
      <w:r w:rsidRPr="3287D6CA">
        <w:rPr>
          <w:rFonts w:eastAsia="Calibri" w:cs="Arial"/>
        </w:rPr>
        <w:t xml:space="preserve"> bids for special regulation).</w:t>
      </w:r>
    </w:p>
    <w:p w14:paraId="3DA96055" w14:textId="7F100C9A" w:rsidR="00844C51" w:rsidRDefault="0F563A2D" w:rsidP="00844C51">
      <w:pPr>
        <w:rPr>
          <w:rFonts w:eastAsia="Calibri" w:cs="Arial"/>
        </w:rPr>
      </w:pPr>
      <w:r w:rsidRPr="0F563A2D">
        <w:rPr>
          <w:rFonts w:eastAsia="Calibri" w:cs="Arial"/>
        </w:rPr>
        <w:t>Due lack of the reliable data, Nordics have decided to use the same mark-up values as used in Central Europe for different technologies, as redispatch is there used and thus assumed to provide good assumption on mark-up cost for different technologies. However, it should be noted, that all technologies (for example Nuclear) listed are not assumed to take part to redispatch.</w:t>
      </w:r>
    </w:p>
    <w:p w14:paraId="2B33D8C7" w14:textId="79C336DA" w:rsidR="00844C51" w:rsidRPr="00844C51" w:rsidRDefault="00844C51" w:rsidP="00844C51">
      <w:pPr>
        <w:rPr>
          <w:rFonts w:eastAsia="Calibri" w:cs="Arial"/>
        </w:rPr>
      </w:pPr>
      <w:r>
        <w:rPr>
          <w:rFonts w:eastAsia="Calibri" w:cs="Arial"/>
        </w:rPr>
        <w:br w:type="page"/>
      </w:r>
    </w:p>
    <w:p w14:paraId="7C3473F0" w14:textId="13D41A26" w:rsidR="3604C7AB" w:rsidRDefault="46E9B0E2" w:rsidP="3604C7AB">
      <w:pPr>
        <w:pStyle w:val="Heading1"/>
      </w:pPr>
      <w:bookmarkStart w:id="64" w:name="_Toc120696708"/>
      <w:r>
        <w:lastRenderedPageBreak/>
        <w:t>Load</w:t>
      </w:r>
      <w:bookmarkStart w:id="65" w:name="_Toc115377283"/>
      <w:bookmarkStart w:id="66" w:name="_Toc115377333"/>
      <w:bookmarkStart w:id="67" w:name="_Toc115377383"/>
      <w:bookmarkStart w:id="68" w:name="_Toc115968266"/>
      <w:bookmarkStart w:id="69" w:name="_Toc115995532"/>
      <w:bookmarkStart w:id="70" w:name="_Toc115995639"/>
      <w:bookmarkStart w:id="71" w:name="_Toc115995694"/>
      <w:bookmarkStart w:id="72" w:name="_Toc115995924"/>
      <w:bookmarkStart w:id="73" w:name="_Toc118274932"/>
      <w:bookmarkStart w:id="74" w:name="_Toc118282825"/>
      <w:bookmarkStart w:id="75" w:name="_Toc119592607"/>
      <w:bookmarkEnd w:id="64"/>
      <w:bookmarkEnd w:id="65"/>
      <w:bookmarkEnd w:id="66"/>
      <w:bookmarkEnd w:id="67"/>
      <w:bookmarkEnd w:id="68"/>
      <w:bookmarkEnd w:id="69"/>
      <w:bookmarkEnd w:id="70"/>
      <w:bookmarkEnd w:id="71"/>
      <w:bookmarkEnd w:id="72"/>
      <w:bookmarkEnd w:id="73"/>
      <w:bookmarkEnd w:id="74"/>
      <w:bookmarkEnd w:id="75"/>
    </w:p>
    <w:p w14:paraId="6A676587" w14:textId="7469D46A" w:rsidR="00EE3B0B" w:rsidRPr="006E1E69" w:rsidRDefault="46E9B0E2" w:rsidP="006E1E69">
      <w:pPr>
        <w:pStyle w:val="Heading2"/>
      </w:pPr>
      <w:bookmarkStart w:id="76" w:name="_Toc115995533"/>
      <w:bookmarkStart w:id="77" w:name="_Toc119592608"/>
      <w:bookmarkStart w:id="78" w:name="_Toc120696709"/>
      <w:r>
        <w:t>Load time series</w:t>
      </w:r>
      <w:bookmarkEnd w:id="76"/>
      <w:bookmarkEnd w:id="77"/>
      <w:bookmarkEnd w:id="78"/>
    </w:p>
    <w:p w14:paraId="1B06D208" w14:textId="54AEB449" w:rsidR="006E1E69" w:rsidRPr="006E1E69" w:rsidRDefault="0F563A2D" w:rsidP="0F563A2D">
      <w:pPr>
        <w:rPr>
          <w:rFonts w:eastAsia="Calibri" w:cs="Arial"/>
          <w:i/>
          <w:iCs/>
        </w:rPr>
      </w:pPr>
      <w:r w:rsidRPr="0F563A2D">
        <w:rPr>
          <w:rFonts w:eastAsia="Calibri" w:cs="Arial"/>
        </w:rPr>
        <w:t xml:space="preserve">The demand time series used as input can be found from the input files published for LMP study. Please see input data from site: </w:t>
      </w:r>
      <w:r w:rsidRPr="0F563A2D">
        <w:rPr>
          <w:rFonts w:eastAsia="Calibri" w:cs="Arial"/>
          <w:i/>
          <w:iCs/>
        </w:rPr>
        <w:t xml:space="preserve"> </w:t>
      </w:r>
      <w:hyperlink r:id="rId21" w:history="1">
        <w:r w:rsidR="00844C51" w:rsidRPr="00844C51">
          <w:rPr>
            <w:rStyle w:val="Hyperlink"/>
            <w:rFonts w:eastAsia="Calibri" w:cs="Arial"/>
            <w:i/>
            <w:iCs/>
          </w:rPr>
          <w:t>https://www.entsoe.eu/news/2022/09/06/entso-e-publishes-locational-marginal-pricing-data-items-as-part-of-bidding-zone-review-study/</w:t>
        </w:r>
      </w:hyperlink>
    </w:p>
    <w:p w14:paraId="1BAEDC37" w14:textId="77777777" w:rsidR="00EE3B0B" w:rsidRPr="006E1E69" w:rsidRDefault="46E9B0E2" w:rsidP="007B48B4">
      <w:pPr>
        <w:pStyle w:val="Heading2"/>
      </w:pPr>
      <w:bookmarkStart w:id="79" w:name="_Toc115995534"/>
      <w:bookmarkStart w:id="80" w:name="_Toc119592609"/>
      <w:bookmarkStart w:id="81" w:name="_Toc120696710"/>
      <w:r>
        <w:t>Day-ahead demand elasticity</w:t>
      </w:r>
      <w:bookmarkEnd w:id="79"/>
      <w:bookmarkEnd w:id="80"/>
      <w:bookmarkEnd w:id="81"/>
    </w:p>
    <w:p w14:paraId="55BA63BD" w14:textId="2B5AE72C" w:rsidR="00844C51" w:rsidRPr="006E1E69" w:rsidRDefault="3287D6CA" w:rsidP="3287D6CA">
      <w:pPr>
        <w:rPr>
          <w:rFonts w:eastAsia="Calibri" w:cs="Arial"/>
          <w:i/>
          <w:iCs/>
        </w:rPr>
      </w:pPr>
      <w:r w:rsidRPr="3287D6CA">
        <w:rPr>
          <w:rFonts w:eastAsia="Calibri" w:cs="Arial"/>
        </w:rPr>
        <w:t>The demand elasticity in day-ahead timeframe is modelled with decreasing percentage with each price threshold step, steps are modelled separately for general and industrial demand. The used threshold and percentage values are provided in the input files published for LMP study. Please see input data from site:</w:t>
      </w:r>
      <w:hyperlink r:id="rId22">
        <w:r w:rsidRPr="3287D6CA">
          <w:rPr>
            <w:rStyle w:val="Hyperlink"/>
            <w:rFonts w:eastAsia="Calibri" w:cs="Arial"/>
            <w:i/>
            <w:iCs/>
          </w:rPr>
          <w:t>https://www.entsoe.eu/news/2022/09/06/entso-e-publishes-locational-marginal-pricing-data-items-as-part-of-bidding-zone-review-study/</w:t>
        </w:r>
      </w:hyperlink>
    </w:p>
    <w:p w14:paraId="05BB08BE" w14:textId="10DFC79C" w:rsidR="00EE3B0B" w:rsidRPr="006E1E69" w:rsidRDefault="0F563A2D" w:rsidP="00844C51">
      <w:pPr>
        <w:pStyle w:val="Heading2"/>
        <w:ind w:left="1134" w:hanging="567"/>
      </w:pPr>
      <w:r w:rsidRPr="0F563A2D">
        <w:rPr>
          <w:rFonts w:eastAsia="Calibri" w:cs="Arial"/>
        </w:rPr>
        <w:t xml:space="preserve"> </w:t>
      </w:r>
      <w:bookmarkStart w:id="82" w:name="_Toc115995535"/>
      <w:bookmarkStart w:id="83" w:name="_Toc119592610"/>
      <w:bookmarkStart w:id="84" w:name="_Toc120696711"/>
      <w:r w:rsidR="46E9B0E2">
        <w:t>DSR: Maximum power [MW] which may respond</w:t>
      </w:r>
      <w:bookmarkEnd w:id="82"/>
      <w:bookmarkEnd w:id="83"/>
      <w:bookmarkEnd w:id="84"/>
    </w:p>
    <w:p w14:paraId="07370326" w14:textId="22C1C336" w:rsidR="3604C7AB" w:rsidRDefault="0F563A2D" w:rsidP="3604C7AB">
      <w:pPr>
        <w:rPr>
          <w:rFonts w:cs="Arial"/>
        </w:rPr>
      </w:pPr>
      <w:r w:rsidRPr="0F563A2D">
        <w:rPr>
          <w:rFonts w:eastAsia="Calibri" w:cs="Arial"/>
        </w:rPr>
        <w:t>As in the modelling the respond is given as percentage relative to hourly demand, the maximum power is dependent on the peak demand. No limitation was set.</w:t>
      </w:r>
    </w:p>
    <w:p w14:paraId="201C7E2B" w14:textId="77777777" w:rsidR="00EE3B0B" w:rsidRPr="006E1E69" w:rsidRDefault="46E9B0E2" w:rsidP="007B48B4">
      <w:pPr>
        <w:pStyle w:val="Heading2"/>
      </w:pPr>
      <w:bookmarkStart w:id="85" w:name="_Toc115995536"/>
      <w:bookmarkStart w:id="86" w:name="_Toc119592611"/>
      <w:bookmarkStart w:id="87" w:name="_Toc120696712"/>
      <w:r>
        <w:t>DSR: Minimum price [€/MWh] at which the response is triggered</w:t>
      </w:r>
      <w:bookmarkEnd w:id="85"/>
      <w:bookmarkEnd w:id="86"/>
      <w:bookmarkEnd w:id="87"/>
    </w:p>
    <w:p w14:paraId="368F7BCA" w14:textId="2D707B4A" w:rsidR="3604C7AB" w:rsidRDefault="0F563A2D" w:rsidP="162F86FE">
      <w:pPr>
        <w:rPr>
          <w:rFonts w:eastAsia="Calibri" w:cs="Arial"/>
        </w:rPr>
      </w:pPr>
      <w:r w:rsidRPr="0F563A2D">
        <w:rPr>
          <w:rFonts w:eastAsia="Calibri" w:cs="Arial"/>
        </w:rPr>
        <w:t>Price thresholds are provided in the input files published for the LMP study. Please see input data from site: https://www.entsoe.eu/news/2022/09/06/entso-e-publishes-locational-marginal-pricing-data-items-as-part-of-bidding-zone-review-study/</w:t>
      </w:r>
    </w:p>
    <w:p w14:paraId="0D408938" w14:textId="3B20E022" w:rsidR="00EE3B0B" w:rsidRPr="006E1E69" w:rsidRDefault="46E9B0E2" w:rsidP="007B48B4">
      <w:pPr>
        <w:pStyle w:val="Heading2"/>
      </w:pPr>
      <w:bookmarkStart w:id="88" w:name="_Toc115995537"/>
      <w:bookmarkStart w:id="89" w:name="_Toc119592612"/>
      <w:bookmarkStart w:id="90" w:name="_Toc120696713"/>
      <w:r>
        <w:t>DSR: Maximum activation duration [h]</w:t>
      </w:r>
      <w:bookmarkEnd w:id="88"/>
      <w:bookmarkEnd w:id="89"/>
      <w:bookmarkEnd w:id="90"/>
    </w:p>
    <w:p w14:paraId="7FDCDBEB" w14:textId="052F149D" w:rsidR="00EE3B0B" w:rsidRPr="006E1E69" w:rsidRDefault="0F563A2D" w:rsidP="006E1E69">
      <w:pPr>
        <w:rPr>
          <w:rFonts w:cs="Arial"/>
        </w:rPr>
      </w:pPr>
      <w:r w:rsidRPr="0F563A2D">
        <w:rPr>
          <w:rFonts w:cs="Arial"/>
        </w:rPr>
        <w:t>No maximum activation duration is set.</w:t>
      </w:r>
    </w:p>
    <w:p w14:paraId="56EDC5E3" w14:textId="77777777" w:rsidR="00EE3B0B" w:rsidRPr="006E1E69" w:rsidRDefault="46E9B0E2" w:rsidP="007B48B4">
      <w:pPr>
        <w:pStyle w:val="Heading2"/>
      </w:pPr>
      <w:bookmarkStart w:id="91" w:name="_Toc115995538"/>
      <w:bookmarkStart w:id="92" w:name="_Toc119592613"/>
      <w:bookmarkStart w:id="93" w:name="_Toc120696714"/>
      <w:r>
        <w:t>DSR: Maximum activated energy per day [MWh]</w:t>
      </w:r>
      <w:bookmarkEnd w:id="91"/>
      <w:bookmarkEnd w:id="92"/>
      <w:bookmarkEnd w:id="93"/>
    </w:p>
    <w:p w14:paraId="7ACD8C5F" w14:textId="7CAF44DD" w:rsidR="00EE3B0B" w:rsidRPr="006E1E69" w:rsidRDefault="0F563A2D" w:rsidP="006E1E69">
      <w:pPr>
        <w:rPr>
          <w:rFonts w:cs="Arial"/>
        </w:rPr>
      </w:pPr>
      <w:r w:rsidRPr="0F563A2D">
        <w:rPr>
          <w:rFonts w:cs="Arial"/>
        </w:rPr>
        <w:t>No limit for activated energy per day is set.</w:t>
      </w:r>
    </w:p>
    <w:p w14:paraId="201EA68A" w14:textId="55DCD399" w:rsidR="00EE3B0B" w:rsidRPr="006E1E69" w:rsidRDefault="46E9B0E2" w:rsidP="006E1E69">
      <w:pPr>
        <w:pStyle w:val="Heading2"/>
      </w:pPr>
      <w:bookmarkStart w:id="94" w:name="_Toc115995539"/>
      <w:bookmarkStart w:id="95" w:name="_Toc119592614"/>
      <w:bookmarkStart w:id="96" w:name="_Toc120696715"/>
      <w:r>
        <w:t>DSR:  Average amount of DSR [MW] available for the market dispatch</w:t>
      </w:r>
      <w:bookmarkEnd w:id="94"/>
      <w:bookmarkEnd w:id="95"/>
      <w:bookmarkEnd w:id="96"/>
    </w:p>
    <w:p w14:paraId="1E41C9F5" w14:textId="493CE1B7" w:rsidR="162F86FE" w:rsidRDefault="0F563A2D" w:rsidP="162F86FE">
      <w:pPr>
        <w:rPr>
          <w:rFonts w:cs="Arial"/>
        </w:rPr>
      </w:pPr>
      <w:r w:rsidRPr="0F563A2D">
        <w:rPr>
          <w:rFonts w:eastAsia="Calibri" w:cs="Arial"/>
        </w:rPr>
        <w:t xml:space="preserve">The amount is dependent by the maximum peak by the percentage given in the table in the input files published for the LMP study. Please see input data from site: </w:t>
      </w:r>
      <w:hyperlink r:id="rId23" w:history="1">
        <w:r w:rsidR="00844C51" w:rsidRPr="003058B8">
          <w:rPr>
            <w:rStyle w:val="Hyperlink"/>
            <w:rFonts w:eastAsia="Calibri" w:cs="Arial"/>
            <w:i/>
            <w:iCs/>
          </w:rPr>
          <w:t>https://www.entsoe.eu/news/2022/09/06/entso-e-publishes-locational-marginal-pricing-data-items-as-part-of-bidding-zone-review-study/</w:t>
        </w:r>
      </w:hyperlink>
    </w:p>
    <w:p w14:paraId="288D3188" w14:textId="136EE483" w:rsidR="00EE3B0B" w:rsidRPr="006E1E69" w:rsidRDefault="46E9B0E2" w:rsidP="006E1E69">
      <w:pPr>
        <w:pStyle w:val="Heading2"/>
      </w:pPr>
      <w:bookmarkStart w:id="97" w:name="_Toc115995540"/>
      <w:bookmarkStart w:id="98" w:name="_Toc119592615"/>
      <w:bookmarkStart w:id="99" w:name="_Toc120696716"/>
      <w:r>
        <w:t xml:space="preserve">DSR: Average amount of explicit DSR [MW] not available for </w:t>
      </w:r>
      <w:proofErr w:type="spellStart"/>
      <w:r>
        <w:t>redispatching</w:t>
      </w:r>
      <w:proofErr w:type="spellEnd"/>
      <w:r>
        <w:t xml:space="preserve"> after considering market dispatch and technical constraints</w:t>
      </w:r>
      <w:bookmarkEnd w:id="97"/>
      <w:bookmarkEnd w:id="98"/>
      <w:bookmarkEnd w:id="99"/>
    </w:p>
    <w:p w14:paraId="1F16E314" w14:textId="126278F2" w:rsidR="3604C7AB" w:rsidRDefault="3287D6CA" w:rsidP="3604C7AB">
      <w:pPr>
        <w:rPr>
          <w:rFonts w:cs="Arial"/>
        </w:rPr>
      </w:pPr>
      <w:r w:rsidRPr="3287D6CA">
        <w:rPr>
          <w:rFonts w:eastAsia="Calibri" w:cs="Arial"/>
        </w:rPr>
        <w:t xml:space="preserve">All DSR is assumed to be allocated to the market dispatch. For Nordics DSR can also take part to redispatch and provide bids to </w:t>
      </w:r>
      <w:proofErr w:type="spellStart"/>
      <w:r w:rsidRPr="3287D6CA">
        <w:rPr>
          <w:rFonts w:eastAsia="Calibri" w:cs="Arial"/>
        </w:rPr>
        <w:t>mFRR</w:t>
      </w:r>
      <w:proofErr w:type="spellEnd"/>
      <w:r w:rsidRPr="3287D6CA">
        <w:rPr>
          <w:rFonts w:eastAsia="Calibri" w:cs="Arial"/>
        </w:rPr>
        <w:t xml:space="preserve"> market after day-ahead timeframe. However, currently the model is not taking into account in chain what is left for DSR after the market </w:t>
      </w:r>
      <w:r w:rsidRPr="3287D6CA">
        <w:rPr>
          <w:rFonts w:eastAsia="Calibri" w:cs="Arial"/>
        </w:rPr>
        <w:lastRenderedPageBreak/>
        <w:t>dispatch, so for simplification we have assumed all DSR to be available only for market dispatch.</w:t>
      </w:r>
    </w:p>
    <w:p w14:paraId="630B7B2C" w14:textId="2BD18AC9" w:rsidR="00101859" w:rsidRPr="006E1E69" w:rsidRDefault="46E9B0E2" w:rsidP="006E1E69">
      <w:pPr>
        <w:pStyle w:val="Heading2"/>
      </w:pPr>
      <w:bookmarkStart w:id="100" w:name="_Toc115995541"/>
      <w:bookmarkStart w:id="101" w:name="_Toc119592616"/>
      <w:bookmarkStart w:id="102" w:name="_Toc120696717"/>
      <w:r>
        <w:t>Average amount of DSR [MW] available for neither of them</w:t>
      </w:r>
      <w:bookmarkEnd w:id="100"/>
      <w:bookmarkEnd w:id="101"/>
      <w:bookmarkEnd w:id="102"/>
    </w:p>
    <w:p w14:paraId="783535F1" w14:textId="33818983" w:rsidR="3604C7AB" w:rsidRDefault="3287D6CA" w:rsidP="3604C7AB">
      <w:pPr>
        <w:rPr>
          <w:rFonts w:eastAsia="Calibri" w:cs="Arial"/>
        </w:rPr>
      </w:pPr>
      <w:r w:rsidRPr="3287D6CA">
        <w:rPr>
          <w:rFonts w:eastAsia="Calibri" w:cs="Arial"/>
        </w:rPr>
        <w:t>All DSR available is assumed to be allocated to the market dispatch.</w:t>
      </w:r>
    </w:p>
    <w:p w14:paraId="20C60069" w14:textId="77777777" w:rsidR="006E1E69" w:rsidRPr="006E1E69" w:rsidRDefault="006E1E69" w:rsidP="006E1E69">
      <w:pPr>
        <w:rPr>
          <w:rFonts w:cs="Arial"/>
        </w:rPr>
      </w:pPr>
    </w:p>
    <w:p w14:paraId="0106E525" w14:textId="0D98E3B1" w:rsidR="00101859" w:rsidRPr="006E1E69" w:rsidRDefault="00101859">
      <w:pPr>
        <w:rPr>
          <w:rFonts w:cs="Arial"/>
        </w:rPr>
      </w:pPr>
      <w:r w:rsidRPr="0F563A2D">
        <w:rPr>
          <w:rFonts w:cs="Arial"/>
        </w:rPr>
        <w:br w:type="page"/>
      </w:r>
    </w:p>
    <w:p w14:paraId="3FBC55CF" w14:textId="54BBF0C6" w:rsidR="009B2FE3" w:rsidRPr="006E1E69" w:rsidRDefault="46E9B0E2" w:rsidP="00C06378">
      <w:pPr>
        <w:pStyle w:val="Heading1"/>
      </w:pPr>
      <w:bookmarkStart w:id="103" w:name="_Toc120696718"/>
      <w:r>
        <w:lastRenderedPageBreak/>
        <w:t>Reserves</w:t>
      </w:r>
      <w:bookmarkStart w:id="104" w:name="_Toc115377293"/>
      <w:bookmarkStart w:id="105" w:name="_Toc115377343"/>
      <w:bookmarkStart w:id="106" w:name="_Toc115377393"/>
      <w:bookmarkStart w:id="107" w:name="_Toc115968276"/>
      <w:bookmarkStart w:id="108" w:name="_Toc115995542"/>
      <w:bookmarkStart w:id="109" w:name="_Toc115995649"/>
      <w:bookmarkStart w:id="110" w:name="_Toc115995704"/>
      <w:bookmarkStart w:id="111" w:name="_Toc115995934"/>
      <w:bookmarkStart w:id="112" w:name="_Toc118274942"/>
      <w:bookmarkStart w:id="113" w:name="_Toc118282835"/>
      <w:bookmarkStart w:id="114" w:name="_Toc119592617"/>
      <w:bookmarkEnd w:id="103"/>
      <w:bookmarkEnd w:id="104"/>
      <w:bookmarkEnd w:id="105"/>
      <w:bookmarkEnd w:id="106"/>
      <w:bookmarkEnd w:id="107"/>
      <w:bookmarkEnd w:id="108"/>
      <w:bookmarkEnd w:id="109"/>
      <w:bookmarkEnd w:id="110"/>
      <w:bookmarkEnd w:id="111"/>
      <w:bookmarkEnd w:id="112"/>
      <w:bookmarkEnd w:id="113"/>
      <w:bookmarkEnd w:id="114"/>
    </w:p>
    <w:p w14:paraId="211817C3" w14:textId="638E523D" w:rsidR="3604C7AB" w:rsidRDefault="3287D6CA" w:rsidP="3604C7AB">
      <w:pPr>
        <w:rPr>
          <w:rFonts w:eastAsia="Calibri" w:cs="Arial"/>
        </w:rPr>
      </w:pPr>
      <w:r w:rsidRPr="3287D6CA">
        <w:rPr>
          <w:rFonts w:eastAsia="Calibri" w:cs="Arial"/>
        </w:rPr>
        <w:t>For the Nordics, the reserve modelling is taken into account for Frequency Containment reserve</w:t>
      </w:r>
      <w:r w:rsidR="004C23FD">
        <w:rPr>
          <w:rFonts w:eastAsia="Calibri" w:cs="Arial"/>
        </w:rPr>
        <w:t xml:space="preserve"> </w:t>
      </w:r>
      <w:r w:rsidRPr="3287D6CA">
        <w:rPr>
          <w:rFonts w:eastAsia="Calibri" w:cs="Arial"/>
        </w:rPr>
        <w:t xml:space="preserve">(FCR) and Frequency Restoration Reserve (FRR) products, Replacement Reserve (RR) is not currently in use. The reserves are taken into account in the model by holding constant the generation capacity that is assumed to be contributing to reserves and is thus not available for the day-ahead market dispatch. </w:t>
      </w:r>
    </w:p>
    <w:p w14:paraId="10680797" w14:textId="69870734" w:rsidR="3604C7AB" w:rsidRDefault="0F563A2D" w:rsidP="3604C7AB">
      <w:pPr>
        <w:rPr>
          <w:rFonts w:eastAsia="Calibri" w:cs="Arial"/>
        </w:rPr>
      </w:pPr>
      <w:r w:rsidRPr="0F563A2D">
        <w:rPr>
          <w:rFonts w:eastAsia="Calibri" w:cs="Arial"/>
        </w:rPr>
        <w:t xml:space="preserve">In the modelling, the reserve holding is not allocated to specific plants. Instead, the model is given the reserve needed to co-optimize the holding for plants that is available alongside the main dispatch. </w:t>
      </w:r>
    </w:p>
    <w:p w14:paraId="569D055F" w14:textId="19F52EB3" w:rsidR="3604C7AB" w:rsidRDefault="3287D6CA" w:rsidP="3604C7AB">
      <w:pPr>
        <w:rPr>
          <w:rFonts w:eastAsia="Calibri" w:cs="Arial"/>
        </w:rPr>
      </w:pPr>
      <w:r w:rsidRPr="3287D6CA">
        <w:rPr>
          <w:rFonts w:eastAsia="Calibri" w:cs="Arial"/>
        </w:rPr>
        <w:t>Currently, the reserve requirement is fulfilled in some Nordic countries with capacity that is not normally available for the day-ahead market dispatch. The corresponding reserve capacity is not included in the reserve holding requirement in the model; the plants not available for the day-ahead market are also not included in the model. In addition, part of the capacity fulfilling the reserve requirements is assumed to be procured from consumption. This demand contribution is not explicitly modelled, as it is assumed to have only little effect on the day-ahead dispatch. Also, the downward reserve requirements are not currently taken into account in the modelling, as its effect on the day-ahead dispatch is not assumed to be significant.</w:t>
      </w:r>
    </w:p>
    <w:p w14:paraId="73DBEE15" w14:textId="06BE1542" w:rsidR="3604C7AB" w:rsidRDefault="3287D6CA" w:rsidP="3604C7AB">
      <w:pPr>
        <w:rPr>
          <w:rFonts w:eastAsia="Calibri" w:cs="Arial"/>
        </w:rPr>
      </w:pPr>
      <w:r w:rsidRPr="3287D6CA">
        <w:rPr>
          <w:rFonts w:eastAsia="Calibri" w:cs="Arial"/>
        </w:rPr>
        <w:t>The used FCR and FRR values in the modelling are provided in the published input files for the LMP study, the straight link is provided in Nordic overview Excel. It should be noted, that currently the dimensioning of reserves is done for TSOs control area, not per bidding zone, so the division of values between the bidding zones based on the assumption done in P</w:t>
      </w:r>
      <w:r w:rsidR="0056126B">
        <w:rPr>
          <w:rFonts w:eastAsia="Calibri" w:cs="Arial"/>
        </w:rPr>
        <w:t>an European Market Model Database</w:t>
      </w:r>
      <w:r w:rsidRPr="3287D6CA">
        <w:rPr>
          <w:rFonts w:eastAsia="Calibri" w:cs="Arial"/>
        </w:rPr>
        <w:t xml:space="preserve">. The division will be further assumed for the new bidding zone configurations. </w:t>
      </w:r>
    </w:p>
    <w:p w14:paraId="28B27F78" w14:textId="116AECFD" w:rsidR="00EE3B0B" w:rsidRPr="006E1E69" w:rsidRDefault="46E9B0E2" w:rsidP="007B48B4">
      <w:pPr>
        <w:pStyle w:val="Heading2"/>
      </w:pPr>
      <w:bookmarkStart w:id="115" w:name="_Ref115419607"/>
      <w:bookmarkStart w:id="116" w:name="_Toc115995543"/>
      <w:bookmarkStart w:id="117" w:name="_Toc119592618"/>
      <w:bookmarkStart w:id="118" w:name="_Toc120696719"/>
      <w:r>
        <w:t>FCR requirement [MW]</w:t>
      </w:r>
      <w:bookmarkEnd w:id="115"/>
      <w:bookmarkEnd w:id="116"/>
      <w:bookmarkEnd w:id="117"/>
      <w:bookmarkEnd w:id="118"/>
    </w:p>
    <w:p w14:paraId="7F1E482B" w14:textId="36B4DA2C" w:rsidR="162F86FE" w:rsidRDefault="0F563A2D" w:rsidP="162F86FE">
      <w:pPr>
        <w:rPr>
          <w:rFonts w:cs="Arial"/>
        </w:rPr>
      </w:pPr>
      <w:r w:rsidRPr="0F563A2D">
        <w:rPr>
          <w:rFonts w:eastAsia="Calibri" w:cs="Arial"/>
        </w:rPr>
        <w:t xml:space="preserve">Information of values is provided in the published input files for LMP study. Please see input data from site: </w:t>
      </w:r>
      <w:hyperlink r:id="rId24" w:history="1">
        <w:r w:rsidR="0056126B" w:rsidRPr="003058B8">
          <w:rPr>
            <w:rStyle w:val="Hyperlink"/>
            <w:rFonts w:eastAsia="Calibri" w:cs="Arial"/>
            <w:i/>
            <w:iCs/>
          </w:rPr>
          <w:t>https://www.entsoe.eu/news/2022/09/06/entso-e-publishes-locational-marginal-pricing-data-items-as-part-of-bidding-zone-review-study/</w:t>
        </w:r>
      </w:hyperlink>
    </w:p>
    <w:p w14:paraId="48AF1AD5" w14:textId="0ADDF225" w:rsidR="00F027DC" w:rsidRPr="006E1E69" w:rsidRDefault="46E9B0E2" w:rsidP="007B48B4">
      <w:pPr>
        <w:pStyle w:val="Heading2"/>
      </w:pPr>
      <w:bookmarkStart w:id="119" w:name="_Toc115995544"/>
      <w:bookmarkStart w:id="120" w:name="_Toc119592619"/>
      <w:bookmarkStart w:id="121" w:name="_Toc120696720"/>
      <w:r>
        <w:t>FRR requirement</w:t>
      </w:r>
      <w:bookmarkEnd w:id="119"/>
      <w:r>
        <w:t xml:space="preserve"> [MW]</w:t>
      </w:r>
      <w:bookmarkEnd w:id="120"/>
      <w:bookmarkEnd w:id="121"/>
    </w:p>
    <w:p w14:paraId="1C63E62B" w14:textId="73D3DD3C" w:rsidR="162F86FE" w:rsidRDefault="0F563A2D" w:rsidP="162F86FE">
      <w:pPr>
        <w:rPr>
          <w:rFonts w:cs="Arial"/>
        </w:rPr>
      </w:pPr>
      <w:r w:rsidRPr="0F563A2D">
        <w:rPr>
          <w:rFonts w:eastAsia="Calibri" w:cs="Arial"/>
        </w:rPr>
        <w:t xml:space="preserve">Information of values is provided in the published input files for LMP study. Please see input data from site: </w:t>
      </w:r>
      <w:hyperlink r:id="rId25" w:history="1">
        <w:r w:rsidR="0056126B" w:rsidRPr="003058B8">
          <w:rPr>
            <w:rStyle w:val="Hyperlink"/>
            <w:rFonts w:eastAsia="Calibri" w:cs="Arial"/>
            <w:i/>
            <w:iCs/>
          </w:rPr>
          <w:t>https://www.entsoe.eu/news/2022/09/06/entso-e-publishes-locational-marginal-pricing-data-items-as-part-of-bidding-zone-review-study/</w:t>
        </w:r>
      </w:hyperlink>
    </w:p>
    <w:p w14:paraId="6A606847" w14:textId="4F797E10" w:rsidR="162F86FE" w:rsidRDefault="162F86FE" w:rsidP="162F86FE">
      <w:pPr>
        <w:rPr>
          <w:rFonts w:eastAsia="Calibri" w:cs="Arial"/>
        </w:rPr>
      </w:pPr>
    </w:p>
    <w:p w14:paraId="5B547AEE" w14:textId="647C5D87" w:rsidR="00F027DC" w:rsidRPr="006E1E69" w:rsidRDefault="46E9B0E2" w:rsidP="007B48B4">
      <w:pPr>
        <w:pStyle w:val="Heading2"/>
      </w:pPr>
      <w:bookmarkStart w:id="122" w:name="_Toc115995545"/>
      <w:bookmarkStart w:id="123" w:name="_Toc119592620"/>
      <w:bookmarkStart w:id="124" w:name="_Toc120696721"/>
      <w:r>
        <w:t>RR requirement</w:t>
      </w:r>
      <w:bookmarkEnd w:id="122"/>
      <w:r>
        <w:t xml:space="preserve"> [MW]</w:t>
      </w:r>
      <w:bookmarkEnd w:id="123"/>
      <w:bookmarkEnd w:id="124"/>
    </w:p>
    <w:p w14:paraId="6C4C5E12" w14:textId="6ACE94C3" w:rsidR="162F86FE" w:rsidRDefault="3287D6CA" w:rsidP="1B2DB5FE">
      <w:pPr>
        <w:rPr>
          <w:rFonts w:eastAsia="Calibri" w:cs="Arial"/>
        </w:rPr>
      </w:pPr>
      <w:r w:rsidRPr="3287D6CA">
        <w:rPr>
          <w:rFonts w:eastAsia="Calibri" w:cs="Arial"/>
        </w:rPr>
        <w:t xml:space="preserve">No RR was considered for the Nordics in the study. </w:t>
      </w:r>
    </w:p>
    <w:p w14:paraId="3202E961" w14:textId="1E58A1EE" w:rsidR="162F86FE" w:rsidRDefault="162F86FE" w:rsidP="162F86FE">
      <w:pPr>
        <w:rPr>
          <w:rFonts w:eastAsia="Calibri" w:cs="Arial"/>
        </w:rPr>
      </w:pPr>
    </w:p>
    <w:p w14:paraId="722DFD5E" w14:textId="47F7EF01" w:rsidR="009B2FE3" w:rsidRPr="006E1E69" w:rsidRDefault="006E1E69" w:rsidP="00EE3B0B">
      <w:pPr>
        <w:rPr>
          <w:rFonts w:cs="Arial"/>
        </w:rPr>
      </w:pPr>
      <w:r w:rsidRPr="0F563A2D">
        <w:rPr>
          <w:rFonts w:cs="Arial"/>
        </w:rPr>
        <w:br w:type="page"/>
      </w:r>
    </w:p>
    <w:p w14:paraId="66E6D763" w14:textId="5D35DEDF" w:rsidR="009B2FE3" w:rsidRPr="006E1E69" w:rsidRDefault="46E9B0E2" w:rsidP="009B2FE3">
      <w:pPr>
        <w:pStyle w:val="Heading1"/>
      </w:pPr>
      <w:bookmarkStart w:id="125" w:name="_Toc120696722"/>
      <w:r>
        <w:lastRenderedPageBreak/>
        <w:t>Capacity Calculation</w:t>
      </w:r>
      <w:bookmarkStart w:id="126" w:name="_Toc115377297"/>
      <w:bookmarkStart w:id="127" w:name="_Toc115377347"/>
      <w:bookmarkStart w:id="128" w:name="_Toc115377397"/>
      <w:bookmarkStart w:id="129" w:name="_Toc115968280"/>
      <w:bookmarkStart w:id="130" w:name="_Toc115995546"/>
      <w:bookmarkStart w:id="131" w:name="_Toc115995653"/>
      <w:bookmarkStart w:id="132" w:name="_Toc115995708"/>
      <w:bookmarkStart w:id="133" w:name="_Toc115995938"/>
      <w:bookmarkStart w:id="134" w:name="_Toc118274946"/>
      <w:bookmarkStart w:id="135" w:name="_Toc118282839"/>
      <w:bookmarkStart w:id="136" w:name="_Toc119592621"/>
      <w:bookmarkEnd w:id="125"/>
      <w:bookmarkEnd w:id="126"/>
      <w:bookmarkEnd w:id="127"/>
      <w:bookmarkEnd w:id="128"/>
      <w:bookmarkEnd w:id="129"/>
      <w:bookmarkEnd w:id="130"/>
      <w:bookmarkEnd w:id="131"/>
      <w:bookmarkEnd w:id="132"/>
      <w:bookmarkEnd w:id="133"/>
      <w:bookmarkEnd w:id="134"/>
      <w:bookmarkEnd w:id="135"/>
      <w:bookmarkEnd w:id="136"/>
    </w:p>
    <w:p w14:paraId="648458A0" w14:textId="77777777" w:rsidR="003E61F3" w:rsidRPr="006E1E69" w:rsidRDefault="46E9B0E2" w:rsidP="003E61F3">
      <w:pPr>
        <w:pStyle w:val="Heading2"/>
      </w:pPr>
      <w:bookmarkStart w:id="137" w:name="_Toc115995547"/>
      <w:bookmarkStart w:id="138" w:name="_Toc119592622"/>
      <w:bookmarkStart w:id="139" w:name="_Toc120696723"/>
      <w:r>
        <w:t>Capacity calculation method per border</w:t>
      </w:r>
      <w:bookmarkEnd w:id="137"/>
      <w:bookmarkEnd w:id="138"/>
      <w:bookmarkEnd w:id="139"/>
    </w:p>
    <w:p w14:paraId="6869CDBF" w14:textId="08979A2C" w:rsidR="003E61F3" w:rsidRPr="006E1E69" w:rsidRDefault="0F563A2D" w:rsidP="39E2E9C8">
      <w:pPr>
        <w:rPr>
          <w:rFonts w:eastAsia="Calibri" w:cs="Arial"/>
        </w:rPr>
        <w:sectPr w:rsidR="003E61F3" w:rsidRPr="006E1E69" w:rsidSect="00963DE3">
          <w:headerReference w:type="default" r:id="rId26"/>
          <w:footerReference w:type="default" r:id="rId27"/>
          <w:pgSz w:w="11906" w:h="16838"/>
          <w:pgMar w:top="1417" w:right="1417" w:bottom="1417" w:left="1417" w:header="708" w:footer="708" w:gutter="0"/>
          <w:cols w:space="708"/>
          <w:docGrid w:linePitch="360"/>
        </w:sectPr>
      </w:pPr>
      <w:r w:rsidRPr="0F563A2D">
        <w:rPr>
          <w:rFonts w:eastAsia="Calibri" w:cs="Arial"/>
        </w:rPr>
        <w:t>Flow based method is used for all borders and MTU</w:t>
      </w:r>
      <w:r w:rsidR="0056126B">
        <w:rPr>
          <w:rFonts w:eastAsia="Calibri" w:cs="Arial"/>
        </w:rPr>
        <w:t>s</w:t>
      </w:r>
      <w:r w:rsidRPr="0F563A2D">
        <w:rPr>
          <w:rFonts w:eastAsia="Calibri" w:cs="Arial"/>
        </w:rPr>
        <w:t>.</w:t>
      </w:r>
    </w:p>
    <w:p w14:paraId="4893E90F" w14:textId="07F91AD5" w:rsidR="00CA2BC0" w:rsidRPr="006E1E69" w:rsidRDefault="46E9B0E2" w:rsidP="0F563A2D">
      <w:pPr>
        <w:pStyle w:val="Heading2"/>
      </w:pPr>
      <w:bookmarkStart w:id="140" w:name="_Toc115995548"/>
      <w:bookmarkStart w:id="141" w:name="_Toc119592623"/>
      <w:bookmarkStart w:id="142" w:name="_Toc120696724"/>
      <w:r>
        <w:t>List of action plans and derogations for the target year considered pursuant to IEM regulation</w:t>
      </w:r>
      <w:bookmarkEnd w:id="140"/>
      <w:bookmarkEnd w:id="141"/>
      <w:bookmarkEnd w:id="142"/>
    </w:p>
    <w:p w14:paraId="79F87EA2" w14:textId="345FDD13" w:rsidR="000C6C24" w:rsidRPr="006E1E69" w:rsidRDefault="0F563A2D" w:rsidP="162F86FE">
      <w:pPr>
        <w:rPr>
          <w:rFonts w:eastAsia="Calibri" w:cs="Arial"/>
        </w:rPr>
      </w:pPr>
      <w:r w:rsidRPr="0F563A2D">
        <w:rPr>
          <w:rFonts w:eastAsia="Calibri" w:cs="Arial"/>
        </w:rPr>
        <w:t>There are no action plans assumed to take place in 2025 in the Nordics and thus none is applied in modelling.</w:t>
      </w:r>
    </w:p>
    <w:p w14:paraId="6D60AEDA" w14:textId="2369F9F3" w:rsidR="00CA2BC0" w:rsidRPr="006E1E69" w:rsidRDefault="46E9B0E2" w:rsidP="007B48B4">
      <w:pPr>
        <w:pStyle w:val="Heading2"/>
      </w:pPr>
      <w:bookmarkStart w:id="143" w:name="_Toc115995549"/>
      <w:bookmarkStart w:id="144" w:name="_Toc119592624"/>
      <w:bookmarkStart w:id="145" w:name="_Toc120696725"/>
      <w:r>
        <w:t>Average FRM over all CNECs, per BZ</w:t>
      </w:r>
      <w:bookmarkEnd w:id="143"/>
      <w:bookmarkEnd w:id="144"/>
      <w:bookmarkEnd w:id="145"/>
    </w:p>
    <w:p w14:paraId="69C63AF3" w14:textId="10D9565B" w:rsidR="39E2E9C8" w:rsidRDefault="0F563A2D" w:rsidP="39E2E9C8">
      <w:pPr>
        <w:spacing w:line="257" w:lineRule="auto"/>
      </w:pPr>
      <w:r w:rsidRPr="0F563A2D">
        <w:rPr>
          <w:rFonts w:eastAsia="Arial" w:cs="Arial"/>
        </w:rPr>
        <w:t xml:space="preserve">A fixed FRM of 5% of the Fmax is assumed for all CNECs </w:t>
      </w:r>
      <w:r w:rsidRPr="0F563A2D">
        <w:rPr>
          <w:rFonts w:eastAsia="Calibri" w:cs="Arial"/>
        </w:rPr>
        <w:t>which is the value currently used in Nordic flow-based parallel run.</w:t>
      </w:r>
    </w:p>
    <w:p w14:paraId="35638E44" w14:textId="77777777" w:rsidR="003E61F3" w:rsidRPr="006E1E69" w:rsidRDefault="003E61F3" w:rsidP="003E61F3">
      <w:pPr>
        <w:rPr>
          <w:rFonts w:cs="Arial"/>
        </w:rPr>
      </w:pPr>
    </w:p>
    <w:p w14:paraId="3120C932" w14:textId="629C57AF" w:rsidR="00CA2BC0" w:rsidRPr="006E1E69" w:rsidRDefault="46E9B0E2" w:rsidP="007B48B4">
      <w:pPr>
        <w:pStyle w:val="Heading2"/>
      </w:pPr>
      <w:bookmarkStart w:id="146" w:name="_Toc115995550"/>
      <w:bookmarkStart w:id="147" w:name="_Toc119592625"/>
      <w:bookmarkStart w:id="148" w:name="_Toc120696726"/>
      <w:r>
        <w:t>PTDF threshold used by each TSO and, if different from default value, why the adopted threshold better reflects an economic efficiency analysis.</w:t>
      </w:r>
      <w:bookmarkEnd w:id="146"/>
      <w:bookmarkEnd w:id="147"/>
      <w:bookmarkEnd w:id="148"/>
    </w:p>
    <w:p w14:paraId="1C9785ED" w14:textId="29FAE996" w:rsidR="008F2A98" w:rsidRPr="006E1E69" w:rsidRDefault="0056126B" w:rsidP="162F86FE">
      <w:pPr>
        <w:spacing w:line="257" w:lineRule="auto"/>
        <w:rPr>
          <w:rFonts w:eastAsia="Calibri" w:cs="Arial"/>
        </w:rPr>
      </w:pPr>
      <w:r>
        <w:rPr>
          <w:rFonts w:eastAsia="Arial" w:cs="Arial"/>
        </w:rPr>
        <w:t>In the modelling a</w:t>
      </w:r>
      <w:r w:rsidR="0F563A2D" w:rsidRPr="0F563A2D">
        <w:rPr>
          <w:rFonts w:eastAsia="Arial" w:cs="Arial"/>
        </w:rPr>
        <w:t xml:space="preserve"> PTDF</w:t>
      </w:r>
      <w:r>
        <w:rPr>
          <w:rFonts w:eastAsia="Arial" w:cs="Arial"/>
        </w:rPr>
        <w:t xml:space="preserve"> (Power Transfer Distribution Factor)</w:t>
      </w:r>
      <w:r w:rsidR="0F563A2D" w:rsidRPr="0F563A2D">
        <w:rPr>
          <w:rFonts w:eastAsia="Arial" w:cs="Arial"/>
        </w:rPr>
        <w:t xml:space="preserve"> threshold of 10% is assumed for all TSOs/zones, as per methodology Art. 6.8. </w:t>
      </w:r>
      <w:r w:rsidR="0F563A2D" w:rsidRPr="0F563A2D">
        <w:rPr>
          <w:rFonts w:eastAsia="Calibri" w:cs="Arial"/>
        </w:rPr>
        <w:t>However, it should be noted that currently the value for PTDF threshold in approved Nordic CCM is 5 %.</w:t>
      </w:r>
    </w:p>
    <w:p w14:paraId="2A1B34F1" w14:textId="4A222070" w:rsidR="009B2FE3" w:rsidRPr="006E1E69" w:rsidRDefault="46E9B0E2" w:rsidP="007B48B4">
      <w:pPr>
        <w:pStyle w:val="Heading2"/>
      </w:pPr>
      <w:bookmarkStart w:id="149" w:name="_Toc115995551"/>
      <w:bookmarkStart w:id="150" w:name="_Toc119592626"/>
      <w:bookmarkStart w:id="151" w:name="_Toc120696727"/>
      <w:r>
        <w:t>Allocation constraint per border/BZ.</w:t>
      </w:r>
      <w:bookmarkEnd w:id="149"/>
      <w:bookmarkEnd w:id="150"/>
      <w:bookmarkEnd w:id="151"/>
    </w:p>
    <w:p w14:paraId="57667134" w14:textId="100685EE" w:rsidR="39E2E9C8" w:rsidRDefault="0F563A2D" w:rsidP="39E2E9C8">
      <w:pPr>
        <w:rPr>
          <w:rFonts w:eastAsia="Calibri" w:cs="Arial"/>
        </w:rPr>
      </w:pPr>
      <w:r w:rsidRPr="0F563A2D">
        <w:rPr>
          <w:rFonts w:eastAsia="Calibri" w:cs="Arial"/>
        </w:rPr>
        <w:t xml:space="preserve">Implicit losses are applied in the modelling for those HVDC where allocation constraint of implicit losses is in use. </w:t>
      </w:r>
    </w:p>
    <w:p w14:paraId="0E30821C" w14:textId="320E969D" w:rsidR="39E2E9C8" w:rsidRDefault="0F563A2D" w:rsidP="39E2E9C8">
      <w:pPr>
        <w:rPr>
          <w:rFonts w:eastAsia="Calibri" w:cs="Arial"/>
        </w:rPr>
      </w:pPr>
      <w:r w:rsidRPr="0F563A2D">
        <w:rPr>
          <w:rFonts w:eastAsia="Calibri" w:cs="Arial"/>
        </w:rPr>
        <w:t xml:space="preserve">HVDC ramping restrictions are not applied in modelling. </w:t>
      </w:r>
    </w:p>
    <w:p w14:paraId="3E9D2F2E" w14:textId="4481F981" w:rsidR="39E2E9C8" w:rsidRDefault="0F563A2D" w:rsidP="39E2E9C8">
      <w:pPr>
        <w:rPr>
          <w:rFonts w:eastAsia="Calibri" w:cs="Arial"/>
        </w:rPr>
      </w:pPr>
      <w:r w:rsidRPr="0F563A2D">
        <w:rPr>
          <w:rFonts w:eastAsia="Calibri" w:cs="Arial"/>
        </w:rPr>
        <w:t xml:space="preserve">For Finland combined dynamic constraints for Central-Finland cross-section and </w:t>
      </w:r>
      <w:proofErr w:type="spellStart"/>
      <w:r w:rsidRPr="0F563A2D">
        <w:rPr>
          <w:rFonts w:eastAsia="Calibri" w:cs="Arial"/>
        </w:rPr>
        <w:t>Oulujoki</w:t>
      </w:r>
      <w:proofErr w:type="spellEnd"/>
      <w:r w:rsidRPr="0F563A2D">
        <w:rPr>
          <w:rFonts w:eastAsia="Calibri" w:cs="Arial"/>
        </w:rPr>
        <w:t xml:space="preserve"> cross-section are used.</w:t>
      </w:r>
    </w:p>
    <w:p w14:paraId="1A43509E" w14:textId="77777777" w:rsidR="00101859" w:rsidRPr="006E1E69" w:rsidRDefault="00101859" w:rsidP="00101859">
      <w:pPr>
        <w:rPr>
          <w:rFonts w:cs="Arial"/>
        </w:rPr>
      </w:pPr>
    </w:p>
    <w:p w14:paraId="5E303750" w14:textId="7AC6E65B" w:rsidR="009B2FE3" w:rsidRPr="006E1E69" w:rsidRDefault="00101859">
      <w:pPr>
        <w:rPr>
          <w:rFonts w:cs="Arial"/>
        </w:rPr>
      </w:pPr>
      <w:r w:rsidRPr="0F563A2D">
        <w:rPr>
          <w:rFonts w:cs="Arial"/>
        </w:rPr>
        <w:br w:type="page"/>
      </w:r>
    </w:p>
    <w:p w14:paraId="114E0B2D" w14:textId="1C8DF958" w:rsidR="009B2FE3" w:rsidRPr="006E1E69" w:rsidRDefault="46E9B0E2" w:rsidP="009B2FE3">
      <w:pPr>
        <w:pStyle w:val="Heading1"/>
      </w:pPr>
      <w:bookmarkStart w:id="152" w:name="_Toc120696728"/>
      <w:r>
        <w:lastRenderedPageBreak/>
        <w:t>Miscellaneous</w:t>
      </w:r>
      <w:bookmarkStart w:id="153" w:name="_Toc115377303"/>
      <w:bookmarkStart w:id="154" w:name="_Toc115377353"/>
      <w:bookmarkStart w:id="155" w:name="_Toc115377403"/>
      <w:bookmarkStart w:id="156" w:name="_Toc115968288"/>
      <w:bookmarkStart w:id="157" w:name="_Toc115995552"/>
      <w:bookmarkStart w:id="158" w:name="_Toc115995659"/>
      <w:bookmarkStart w:id="159" w:name="_Toc115995714"/>
      <w:bookmarkStart w:id="160" w:name="_Toc115995944"/>
      <w:bookmarkStart w:id="161" w:name="_Toc118274952"/>
      <w:bookmarkStart w:id="162" w:name="_Toc118282845"/>
      <w:bookmarkStart w:id="163" w:name="_Toc119592627"/>
      <w:bookmarkEnd w:id="152"/>
      <w:bookmarkEnd w:id="153"/>
      <w:bookmarkEnd w:id="154"/>
      <w:bookmarkEnd w:id="155"/>
      <w:bookmarkEnd w:id="156"/>
      <w:bookmarkEnd w:id="157"/>
      <w:bookmarkEnd w:id="158"/>
      <w:bookmarkEnd w:id="159"/>
      <w:bookmarkEnd w:id="160"/>
      <w:bookmarkEnd w:id="161"/>
      <w:bookmarkEnd w:id="162"/>
      <w:bookmarkEnd w:id="163"/>
    </w:p>
    <w:p w14:paraId="1F7E503A" w14:textId="60C30F32" w:rsidR="26BE842E" w:rsidRPr="006E1E69" w:rsidRDefault="46E9B0E2" w:rsidP="007B48B4">
      <w:pPr>
        <w:pStyle w:val="Heading2"/>
      </w:pPr>
      <w:bookmarkStart w:id="164" w:name="_Toc115995553"/>
      <w:bookmarkStart w:id="165" w:name="_Toc119592628"/>
      <w:bookmarkStart w:id="166" w:name="_Toc120696729"/>
      <w:r>
        <w:t>List and brief description of the main characteristics of the modelling tools used for the analysis</w:t>
      </w:r>
      <w:bookmarkEnd w:id="164"/>
      <w:bookmarkEnd w:id="165"/>
      <w:bookmarkEnd w:id="166"/>
    </w:p>
    <w:p w14:paraId="1384189C" w14:textId="0BC13843" w:rsidR="3604C7AB" w:rsidRDefault="0F563A2D" w:rsidP="3604C7AB">
      <w:pPr>
        <w:rPr>
          <w:rFonts w:eastAsia="Calibri" w:cs="Arial"/>
        </w:rPr>
      </w:pPr>
      <w:r w:rsidRPr="0F563A2D">
        <w:rPr>
          <w:rFonts w:eastAsia="Calibri" w:cs="Arial"/>
        </w:rPr>
        <w:t xml:space="preserve">The capacity calculation, day-ahead dispatch and remedial action optimisation were modelled using AFRY’s BID3 power market model. BID3 is a unit commitment model which simulates hourly dispatch by minimising system cost (equivalent to maximising social welfare) using a rolling optimisation window and water values calculation. Simulations take a ‘modular’ structure, with individual ‘modules’ being run in sequence. The BZR required use of the Water Values module followed by the Dispatch module (capacity calculation and day-ahead dispatch) and the Redispatch module (remedial action optimisation). A simulation can be run for a number of future years, each in combination with a number of historical climate years which take into account variations in demand, renewable generation, hydro inflows and plant availability factors on an hourly basis. A rolling optimisation window ensures that inter-temporal constraints (e.g. thermal ramping or reservoir fill levels) are satisfied; additional discarded days are modelled at the end of each window to minimise the impact of edge effects. Grid modelling can be performed in the model on three different levels (DC OPF, FBMC or NTC) and detailed modelling of thermal, renewable, hydro and storage plants is performed on a purely deterministic basis. On the demand side, flexible demand (electric vehicles) and price threshold demand (DSR) can be modelled. Commodity prices are fixed exogenous inputs to the model. </w:t>
      </w:r>
    </w:p>
    <w:p w14:paraId="3E7DCE92" w14:textId="24156825" w:rsidR="3604C7AB" w:rsidRDefault="0F563A2D" w:rsidP="3604C7AB">
      <w:pPr>
        <w:rPr>
          <w:rFonts w:eastAsia="Calibri" w:cs="Arial"/>
        </w:rPr>
      </w:pPr>
      <w:r w:rsidRPr="0F563A2D">
        <w:rPr>
          <w:rFonts w:eastAsia="Calibri" w:cs="Arial"/>
        </w:rPr>
        <w:t>Developments to the software were necessitated in order to satisfy the specific requirements of the BZR, in particular for (a) obtaining the flow-based parameters within the capacity calculation and (b) adaptation of the Redispatch module for grid-induced remedial actions.</w:t>
      </w:r>
    </w:p>
    <w:p w14:paraId="63DA7F78" w14:textId="77777777" w:rsidR="005A75FE" w:rsidRPr="006E1E69" w:rsidRDefault="005A75FE" w:rsidP="005A75FE">
      <w:pPr>
        <w:rPr>
          <w:rFonts w:cs="Arial"/>
        </w:rPr>
      </w:pPr>
    </w:p>
    <w:p w14:paraId="37AA243F" w14:textId="505917FA" w:rsidR="26BE842E" w:rsidRPr="006E1E69" w:rsidRDefault="46E9B0E2" w:rsidP="007B48B4">
      <w:pPr>
        <w:pStyle w:val="Heading2"/>
      </w:pPr>
      <w:bookmarkStart w:id="167" w:name="_Toc115995558"/>
      <w:bookmarkStart w:id="168" w:name="_Toc119592629"/>
      <w:bookmarkStart w:id="169" w:name="_Toc120696730"/>
      <w:r>
        <w:t>All other assumptions and parameters set at pan-European or BZRR level with an impact on the results of the BZR</w:t>
      </w:r>
      <w:bookmarkEnd w:id="167"/>
      <w:bookmarkEnd w:id="168"/>
      <w:bookmarkEnd w:id="169"/>
    </w:p>
    <w:p w14:paraId="152BA07B" w14:textId="7228B721" w:rsidR="162F86FE" w:rsidRDefault="0F563A2D" w:rsidP="162F86FE">
      <w:pPr>
        <w:rPr>
          <w:rFonts w:eastAsia="Calibri" w:cs="Arial"/>
        </w:rPr>
      </w:pPr>
      <w:r w:rsidRPr="0F563A2D">
        <w:rPr>
          <w:rFonts w:eastAsia="Calibri" w:cs="Arial"/>
        </w:rPr>
        <w:t>The main assumptions are reported in</w:t>
      </w:r>
      <w:r w:rsidR="0056126B">
        <w:rPr>
          <w:rFonts w:eastAsia="Calibri" w:cs="Arial"/>
        </w:rPr>
        <w:t xml:space="preserve"> </w:t>
      </w:r>
      <w:hyperlink r:id="rId28" w:history="1">
        <w:r w:rsidR="0056126B" w:rsidRPr="0056126B">
          <w:rPr>
            <w:rStyle w:val="Hyperlink"/>
            <w:rFonts w:eastAsia="Calibri" w:cs="Arial"/>
          </w:rPr>
          <w:t>published</w:t>
        </w:r>
        <w:r w:rsidRPr="0056126B">
          <w:rPr>
            <w:rStyle w:val="Hyperlink"/>
            <w:rFonts w:eastAsia="Calibri" w:cs="Arial"/>
          </w:rPr>
          <w:t xml:space="preserve"> LMP study report</w:t>
        </w:r>
      </w:hyperlink>
      <w:r w:rsidR="0056126B">
        <w:rPr>
          <w:rFonts w:eastAsia="Calibri" w:cs="Arial"/>
        </w:rPr>
        <w:t xml:space="preserve">. However further changes and updates have been done for BZR compared to LMP study: </w:t>
      </w:r>
    </w:p>
    <w:p w14:paraId="0579AD1D" w14:textId="640C6288" w:rsidR="007C221D" w:rsidRPr="007C221D" w:rsidRDefault="3287D6CA" w:rsidP="3287D6CA">
      <w:pPr>
        <w:pStyle w:val="ListParagraph"/>
        <w:numPr>
          <w:ilvl w:val="0"/>
          <w:numId w:val="2"/>
        </w:numPr>
        <w:spacing w:after="0" w:line="240" w:lineRule="auto"/>
        <w:rPr>
          <w:rFonts w:asciiTheme="minorHAnsi" w:eastAsiaTheme="minorEastAsia" w:hAnsiTheme="minorHAnsi"/>
        </w:rPr>
      </w:pPr>
      <w:r w:rsidRPr="3287D6CA">
        <w:rPr>
          <w:rFonts w:eastAsia="Calibri" w:cs="Arial"/>
        </w:rPr>
        <w:t>The list of Critical Network Elements with Contingencies (CNECs) w</w:t>
      </w:r>
      <w:r w:rsidR="0056126B">
        <w:rPr>
          <w:rFonts w:eastAsia="Calibri" w:cs="Arial"/>
        </w:rPr>
        <w:t>as</w:t>
      </w:r>
      <w:r w:rsidRPr="3287D6CA">
        <w:rPr>
          <w:rFonts w:eastAsia="Calibri" w:cs="Arial"/>
        </w:rPr>
        <w:t xml:space="preserve"> updated. </w:t>
      </w:r>
    </w:p>
    <w:p w14:paraId="5C229193" w14:textId="534502D2" w:rsidR="007C221D" w:rsidRPr="007C221D" w:rsidRDefault="3287D6CA" w:rsidP="3287D6CA">
      <w:pPr>
        <w:pStyle w:val="ListParagraph"/>
        <w:numPr>
          <w:ilvl w:val="0"/>
          <w:numId w:val="2"/>
        </w:numPr>
        <w:spacing w:after="0" w:line="240" w:lineRule="auto"/>
      </w:pPr>
      <w:r w:rsidRPr="3287D6CA">
        <w:rPr>
          <w:rFonts w:eastAsia="Calibri" w:cs="Arial"/>
        </w:rPr>
        <w:t>The generation shift keys have been adjusted to represent the GSK strategies used today in flow-based parallel run. In Sweden the GSK strategy is same for whole country, thus the same GSK strategy is applied for current and alternative bidding zones.</w:t>
      </w:r>
    </w:p>
    <w:p w14:paraId="047C5E87" w14:textId="0C1B3FDA" w:rsidR="3287D6CA" w:rsidRDefault="3287D6CA" w:rsidP="3287D6CA">
      <w:pPr>
        <w:pStyle w:val="ListParagraph"/>
        <w:numPr>
          <w:ilvl w:val="0"/>
          <w:numId w:val="2"/>
        </w:numPr>
      </w:pPr>
      <w:r w:rsidRPr="3287D6CA">
        <w:rPr>
          <w:rFonts w:eastAsia="Calibri" w:cs="Arial"/>
        </w:rPr>
        <w:t xml:space="preserve">Some technical improvements have been done for hydro modelling. </w:t>
      </w:r>
    </w:p>
    <w:p w14:paraId="2613E613" w14:textId="199908AB" w:rsidR="162F86FE" w:rsidRDefault="162F86FE" w:rsidP="162F86FE">
      <w:pPr>
        <w:rPr>
          <w:rFonts w:eastAsia="Calibri" w:cs="Arial"/>
        </w:rPr>
      </w:pPr>
    </w:p>
    <w:p w14:paraId="0D25C778" w14:textId="246594F1" w:rsidR="3604C7AB" w:rsidRDefault="3604C7AB" w:rsidP="3604C7AB">
      <w:pPr>
        <w:rPr>
          <w:rFonts w:eastAsia="Calibri" w:cs="Arial"/>
        </w:rPr>
      </w:pPr>
    </w:p>
    <w:p w14:paraId="04F9B58E" w14:textId="77777777" w:rsidR="005A75FE" w:rsidRPr="006E1E69" w:rsidRDefault="005A75FE" w:rsidP="005A75FE">
      <w:pPr>
        <w:rPr>
          <w:rFonts w:cs="Arial"/>
        </w:rPr>
      </w:pPr>
    </w:p>
    <w:p w14:paraId="576D8CE9" w14:textId="0F7643C1" w:rsidR="69FB92E5" w:rsidRPr="006E1E69" w:rsidRDefault="69FB92E5" w:rsidP="00B51E16">
      <w:pPr>
        <w:jc w:val="both"/>
        <w:rPr>
          <w:rFonts w:eastAsia="Arial" w:cs="Arial"/>
          <w:color w:val="FF0000"/>
        </w:rPr>
      </w:pPr>
    </w:p>
    <w:p w14:paraId="46FF3CB7" w14:textId="77777777" w:rsidR="001D7512" w:rsidRPr="006E1E69" w:rsidRDefault="001D7512" w:rsidP="00F027DC">
      <w:pPr>
        <w:rPr>
          <w:rFonts w:cs="Arial"/>
        </w:rPr>
      </w:pPr>
    </w:p>
    <w:sectPr w:rsidR="001D7512" w:rsidRPr="006E1E69" w:rsidSect="002701BE">
      <w:headerReference w:type="default" r:id="rI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09FF" w14:textId="77777777" w:rsidR="00912C70" w:rsidRDefault="00912C70" w:rsidP="009B2FE3">
      <w:pPr>
        <w:spacing w:after="0" w:line="240" w:lineRule="auto"/>
      </w:pPr>
      <w:r>
        <w:separator/>
      </w:r>
    </w:p>
  </w:endnote>
  <w:endnote w:type="continuationSeparator" w:id="0">
    <w:p w14:paraId="1FFCEB6B" w14:textId="77777777" w:rsidR="00912C70" w:rsidRDefault="00912C70" w:rsidP="009B2FE3">
      <w:pPr>
        <w:spacing w:after="0" w:line="240" w:lineRule="auto"/>
      </w:pPr>
      <w:r>
        <w:continuationSeparator/>
      </w:r>
    </w:p>
  </w:endnote>
  <w:endnote w:type="continuationNotice" w:id="1">
    <w:p w14:paraId="68294D1A" w14:textId="77777777" w:rsidR="00912C70" w:rsidRDefault="0091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27515"/>
      <w:docPartObj>
        <w:docPartGallery w:val="Page Numbers (Bottom of Page)"/>
        <w:docPartUnique/>
      </w:docPartObj>
    </w:sdtPr>
    <w:sdtContent>
      <w:p w14:paraId="34807AE5" w14:textId="2E7CF2A3" w:rsidR="00935A1A" w:rsidRDefault="00935A1A">
        <w:pPr>
          <w:pStyle w:val="Footer"/>
          <w:jc w:val="center"/>
        </w:pPr>
        <w:r>
          <w:fldChar w:fldCharType="begin"/>
        </w:r>
        <w:r>
          <w:instrText>PAGE   \* MERGEFORMAT</w:instrText>
        </w:r>
        <w:r>
          <w:fldChar w:fldCharType="separate"/>
        </w:r>
        <w:r w:rsidR="0F563A2D">
          <w:t>2</w:t>
        </w:r>
        <w:r>
          <w:fldChar w:fldCharType="end"/>
        </w:r>
      </w:p>
    </w:sdtContent>
  </w:sdt>
  <w:p w14:paraId="76199CC1" w14:textId="371A8018" w:rsidR="00935A1A" w:rsidRDefault="0093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577C" w14:textId="77777777" w:rsidR="00912C70" w:rsidRDefault="00912C70" w:rsidP="009B2FE3">
      <w:pPr>
        <w:spacing w:after="0" w:line="240" w:lineRule="auto"/>
      </w:pPr>
      <w:r>
        <w:separator/>
      </w:r>
    </w:p>
  </w:footnote>
  <w:footnote w:type="continuationSeparator" w:id="0">
    <w:p w14:paraId="4FA545BE" w14:textId="77777777" w:rsidR="00912C70" w:rsidRDefault="00912C70" w:rsidP="009B2FE3">
      <w:pPr>
        <w:spacing w:after="0" w:line="240" w:lineRule="auto"/>
      </w:pPr>
      <w:r>
        <w:continuationSeparator/>
      </w:r>
    </w:p>
  </w:footnote>
  <w:footnote w:type="continuationNotice" w:id="1">
    <w:p w14:paraId="25023096" w14:textId="77777777" w:rsidR="00912C70" w:rsidRDefault="00912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935A1A" w14:paraId="004374A6" w14:textId="77777777" w:rsidTr="0F563A2D">
      <w:tc>
        <w:tcPr>
          <w:tcW w:w="3024" w:type="dxa"/>
        </w:tcPr>
        <w:p w14:paraId="2684C4B9" w14:textId="0BAF7C5B" w:rsidR="00935A1A" w:rsidRDefault="00935A1A" w:rsidP="0D2AED40">
          <w:pPr>
            <w:pStyle w:val="Header"/>
            <w:ind w:left="-115"/>
          </w:pPr>
        </w:p>
      </w:tc>
      <w:tc>
        <w:tcPr>
          <w:tcW w:w="3024" w:type="dxa"/>
        </w:tcPr>
        <w:p w14:paraId="0C4A4221" w14:textId="3E79684B" w:rsidR="00935A1A" w:rsidRDefault="00935A1A" w:rsidP="0D2AED40">
          <w:pPr>
            <w:pStyle w:val="Header"/>
            <w:jc w:val="center"/>
          </w:pPr>
        </w:p>
      </w:tc>
      <w:tc>
        <w:tcPr>
          <w:tcW w:w="3024" w:type="dxa"/>
        </w:tcPr>
        <w:p w14:paraId="01958CE1" w14:textId="509E2A3E" w:rsidR="00935A1A" w:rsidRDefault="00935A1A" w:rsidP="0D2AED40">
          <w:pPr>
            <w:pStyle w:val="Header"/>
            <w:ind w:right="-115"/>
            <w:jc w:val="right"/>
          </w:pPr>
        </w:p>
      </w:tc>
    </w:tr>
  </w:tbl>
  <w:p w14:paraId="23E447D8" w14:textId="54378EDF" w:rsidR="00935A1A" w:rsidRDefault="00935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935A1A" w14:paraId="478EBE08" w14:textId="77777777" w:rsidTr="0F563A2D">
      <w:tc>
        <w:tcPr>
          <w:tcW w:w="3024" w:type="dxa"/>
        </w:tcPr>
        <w:p w14:paraId="0549E038" w14:textId="7F37A57B" w:rsidR="00935A1A" w:rsidRDefault="00935A1A" w:rsidP="0D2AED40">
          <w:pPr>
            <w:pStyle w:val="Header"/>
            <w:ind w:left="-115"/>
          </w:pPr>
        </w:p>
      </w:tc>
      <w:tc>
        <w:tcPr>
          <w:tcW w:w="3024" w:type="dxa"/>
        </w:tcPr>
        <w:p w14:paraId="4D6B2B06" w14:textId="279B49B5" w:rsidR="00935A1A" w:rsidRDefault="00935A1A" w:rsidP="0D2AED40">
          <w:pPr>
            <w:pStyle w:val="Header"/>
            <w:jc w:val="center"/>
          </w:pPr>
        </w:p>
      </w:tc>
      <w:tc>
        <w:tcPr>
          <w:tcW w:w="3024" w:type="dxa"/>
        </w:tcPr>
        <w:p w14:paraId="3CE821CE" w14:textId="301823E2" w:rsidR="00935A1A" w:rsidRDefault="00935A1A" w:rsidP="0D2AED40">
          <w:pPr>
            <w:pStyle w:val="Header"/>
            <w:ind w:right="-115"/>
            <w:jc w:val="right"/>
          </w:pPr>
        </w:p>
      </w:tc>
    </w:tr>
  </w:tbl>
  <w:p w14:paraId="5DB099D9" w14:textId="519D501A" w:rsidR="00935A1A" w:rsidRDefault="00935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BDD"/>
    <w:multiLevelType w:val="multilevel"/>
    <w:tmpl w:val="E962DD02"/>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360"/>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82D5113"/>
    <w:multiLevelType w:val="hybridMultilevel"/>
    <w:tmpl w:val="8050E67C"/>
    <w:lvl w:ilvl="0" w:tplc="1E864632">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700FEE"/>
    <w:multiLevelType w:val="hybridMultilevel"/>
    <w:tmpl w:val="CA4C428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414DA"/>
    <w:multiLevelType w:val="hybridMultilevel"/>
    <w:tmpl w:val="3C1AF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FD76FF"/>
    <w:multiLevelType w:val="hybridMultilevel"/>
    <w:tmpl w:val="EF9A92B4"/>
    <w:lvl w:ilvl="0" w:tplc="A258A11C">
      <w:start w:val="1"/>
      <w:numFmt w:val="bullet"/>
      <w:lvlText w:val=""/>
      <w:lvlJc w:val="left"/>
      <w:pPr>
        <w:ind w:left="720" w:hanging="360"/>
      </w:pPr>
      <w:rPr>
        <w:rFonts w:ascii="Symbol" w:hAnsi="Symbol" w:hint="default"/>
      </w:rPr>
    </w:lvl>
    <w:lvl w:ilvl="1" w:tplc="263C1060">
      <w:start w:val="1"/>
      <w:numFmt w:val="bullet"/>
      <w:lvlText w:val="o"/>
      <w:lvlJc w:val="left"/>
      <w:pPr>
        <w:ind w:left="1440" w:hanging="360"/>
      </w:pPr>
      <w:rPr>
        <w:rFonts w:ascii="Courier New" w:hAnsi="Courier New" w:hint="default"/>
      </w:rPr>
    </w:lvl>
    <w:lvl w:ilvl="2" w:tplc="8698FC0A">
      <w:start w:val="1"/>
      <w:numFmt w:val="bullet"/>
      <w:lvlText w:val=""/>
      <w:lvlJc w:val="left"/>
      <w:pPr>
        <w:ind w:left="2160" w:hanging="360"/>
      </w:pPr>
      <w:rPr>
        <w:rFonts w:ascii="Wingdings" w:hAnsi="Wingdings" w:hint="default"/>
      </w:rPr>
    </w:lvl>
    <w:lvl w:ilvl="3" w:tplc="9230B9FC">
      <w:start w:val="1"/>
      <w:numFmt w:val="bullet"/>
      <w:lvlText w:val=""/>
      <w:lvlJc w:val="left"/>
      <w:pPr>
        <w:ind w:left="2880" w:hanging="360"/>
      </w:pPr>
      <w:rPr>
        <w:rFonts w:ascii="Symbol" w:hAnsi="Symbol" w:hint="default"/>
      </w:rPr>
    </w:lvl>
    <w:lvl w:ilvl="4" w:tplc="7646BF54">
      <w:start w:val="1"/>
      <w:numFmt w:val="bullet"/>
      <w:lvlText w:val="o"/>
      <w:lvlJc w:val="left"/>
      <w:pPr>
        <w:ind w:left="3600" w:hanging="360"/>
      </w:pPr>
      <w:rPr>
        <w:rFonts w:ascii="Courier New" w:hAnsi="Courier New" w:hint="default"/>
      </w:rPr>
    </w:lvl>
    <w:lvl w:ilvl="5" w:tplc="7ED4EB08">
      <w:start w:val="1"/>
      <w:numFmt w:val="bullet"/>
      <w:lvlText w:val=""/>
      <w:lvlJc w:val="left"/>
      <w:pPr>
        <w:ind w:left="4320" w:hanging="360"/>
      </w:pPr>
      <w:rPr>
        <w:rFonts w:ascii="Wingdings" w:hAnsi="Wingdings" w:hint="default"/>
      </w:rPr>
    </w:lvl>
    <w:lvl w:ilvl="6" w:tplc="0F3CBD94">
      <w:start w:val="1"/>
      <w:numFmt w:val="bullet"/>
      <w:lvlText w:val=""/>
      <w:lvlJc w:val="left"/>
      <w:pPr>
        <w:ind w:left="5040" w:hanging="360"/>
      </w:pPr>
      <w:rPr>
        <w:rFonts w:ascii="Symbol" w:hAnsi="Symbol" w:hint="default"/>
      </w:rPr>
    </w:lvl>
    <w:lvl w:ilvl="7" w:tplc="5F968EB2">
      <w:start w:val="1"/>
      <w:numFmt w:val="bullet"/>
      <w:lvlText w:val="o"/>
      <w:lvlJc w:val="left"/>
      <w:pPr>
        <w:ind w:left="5760" w:hanging="360"/>
      </w:pPr>
      <w:rPr>
        <w:rFonts w:ascii="Courier New" w:hAnsi="Courier New" w:hint="default"/>
      </w:rPr>
    </w:lvl>
    <w:lvl w:ilvl="8" w:tplc="E05488CE">
      <w:start w:val="1"/>
      <w:numFmt w:val="bullet"/>
      <w:lvlText w:val=""/>
      <w:lvlJc w:val="left"/>
      <w:pPr>
        <w:ind w:left="6480" w:hanging="360"/>
      </w:pPr>
      <w:rPr>
        <w:rFonts w:ascii="Wingdings" w:hAnsi="Wingdings" w:hint="default"/>
      </w:rPr>
    </w:lvl>
  </w:abstractNum>
  <w:abstractNum w:abstractNumId="5" w15:restartNumberingAfterBreak="0">
    <w:nsid w:val="229D0C42"/>
    <w:multiLevelType w:val="hybridMultilevel"/>
    <w:tmpl w:val="080C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F04A24"/>
    <w:multiLevelType w:val="hybridMultilevel"/>
    <w:tmpl w:val="0C00C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0A0945"/>
    <w:multiLevelType w:val="hybridMultilevel"/>
    <w:tmpl w:val="1D2A37AC"/>
    <w:lvl w:ilvl="0" w:tplc="31109C76">
      <w:numFmt w:val="none"/>
      <w:lvlText w:val=""/>
      <w:lvlJc w:val="left"/>
      <w:pPr>
        <w:tabs>
          <w:tab w:val="num" w:pos="360"/>
        </w:tabs>
      </w:pPr>
    </w:lvl>
    <w:lvl w:ilvl="1" w:tplc="08504FCA">
      <w:start w:val="1"/>
      <w:numFmt w:val="lowerLetter"/>
      <w:lvlText w:val="%2."/>
      <w:lvlJc w:val="left"/>
      <w:pPr>
        <w:ind w:left="1440" w:hanging="360"/>
      </w:pPr>
    </w:lvl>
    <w:lvl w:ilvl="2" w:tplc="84C03C02">
      <w:start w:val="1"/>
      <w:numFmt w:val="lowerRoman"/>
      <w:lvlText w:val="%3."/>
      <w:lvlJc w:val="right"/>
      <w:pPr>
        <w:ind w:left="2160" w:hanging="180"/>
      </w:pPr>
    </w:lvl>
    <w:lvl w:ilvl="3" w:tplc="AB9AADF8">
      <w:start w:val="1"/>
      <w:numFmt w:val="decimal"/>
      <w:lvlText w:val="%4."/>
      <w:lvlJc w:val="left"/>
      <w:pPr>
        <w:ind w:left="2880" w:hanging="360"/>
      </w:pPr>
    </w:lvl>
    <w:lvl w:ilvl="4" w:tplc="A224A6C2">
      <w:start w:val="1"/>
      <w:numFmt w:val="lowerLetter"/>
      <w:lvlText w:val="%5."/>
      <w:lvlJc w:val="left"/>
      <w:pPr>
        <w:ind w:left="3600" w:hanging="360"/>
      </w:pPr>
    </w:lvl>
    <w:lvl w:ilvl="5" w:tplc="0600A2A0">
      <w:start w:val="1"/>
      <w:numFmt w:val="lowerRoman"/>
      <w:lvlText w:val="%6."/>
      <w:lvlJc w:val="right"/>
      <w:pPr>
        <w:ind w:left="4320" w:hanging="180"/>
      </w:pPr>
    </w:lvl>
    <w:lvl w:ilvl="6" w:tplc="5BA0A05C">
      <w:start w:val="1"/>
      <w:numFmt w:val="decimal"/>
      <w:lvlText w:val="%7."/>
      <w:lvlJc w:val="left"/>
      <w:pPr>
        <w:ind w:left="5040" w:hanging="360"/>
      </w:pPr>
    </w:lvl>
    <w:lvl w:ilvl="7" w:tplc="75A01ACC">
      <w:start w:val="1"/>
      <w:numFmt w:val="lowerLetter"/>
      <w:lvlText w:val="%8."/>
      <w:lvlJc w:val="left"/>
      <w:pPr>
        <w:ind w:left="5760" w:hanging="360"/>
      </w:pPr>
    </w:lvl>
    <w:lvl w:ilvl="8" w:tplc="6D803D9C">
      <w:start w:val="1"/>
      <w:numFmt w:val="lowerRoman"/>
      <w:lvlText w:val="%9."/>
      <w:lvlJc w:val="right"/>
      <w:pPr>
        <w:ind w:left="6480" w:hanging="180"/>
      </w:pPr>
    </w:lvl>
  </w:abstractNum>
  <w:abstractNum w:abstractNumId="8" w15:restartNumberingAfterBreak="0">
    <w:nsid w:val="32EF3722"/>
    <w:multiLevelType w:val="hybridMultilevel"/>
    <w:tmpl w:val="DF78A50E"/>
    <w:lvl w:ilvl="0" w:tplc="3B048AD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5845A5"/>
    <w:multiLevelType w:val="hybridMultilevel"/>
    <w:tmpl w:val="A98A7E34"/>
    <w:lvl w:ilvl="0" w:tplc="0413000F">
      <w:start w:val="1"/>
      <w:numFmt w:val="decimal"/>
      <w:lvlText w:val="%1."/>
      <w:lvlJc w:val="left"/>
      <w:pPr>
        <w:tabs>
          <w:tab w:val="num" w:pos="720"/>
        </w:tabs>
        <w:ind w:left="720" w:hanging="360"/>
      </w:pPr>
      <w:rPr>
        <w:rFonts w:hint="default"/>
      </w:rPr>
    </w:lvl>
    <w:lvl w:ilvl="1" w:tplc="FE5EE050">
      <w:start w:val="1"/>
      <w:numFmt w:val="lowerLetter"/>
      <w:lvlText w:val="%2)"/>
      <w:lvlJc w:val="left"/>
      <w:pPr>
        <w:tabs>
          <w:tab w:val="num" w:pos="1440"/>
        </w:tabs>
        <w:ind w:left="1440" w:hanging="360"/>
      </w:pPr>
    </w:lvl>
    <w:lvl w:ilvl="2" w:tplc="DCB8400C">
      <w:numFmt w:val="bullet"/>
      <w:lvlText w:val="•"/>
      <w:lvlJc w:val="left"/>
      <w:pPr>
        <w:tabs>
          <w:tab w:val="num" w:pos="2160"/>
        </w:tabs>
        <w:ind w:left="2160" w:hanging="360"/>
      </w:pPr>
      <w:rPr>
        <w:rFonts w:ascii="Arial" w:hAnsi="Arial" w:hint="default"/>
      </w:rPr>
    </w:lvl>
    <w:lvl w:ilvl="3" w:tplc="7B143088" w:tentative="1">
      <w:start w:val="1"/>
      <w:numFmt w:val="bullet"/>
      <w:lvlText w:val=""/>
      <w:lvlJc w:val="left"/>
      <w:pPr>
        <w:tabs>
          <w:tab w:val="num" w:pos="2880"/>
        </w:tabs>
        <w:ind w:left="2880" w:hanging="360"/>
      </w:pPr>
      <w:rPr>
        <w:rFonts w:ascii="Wingdings" w:hAnsi="Wingdings" w:hint="default"/>
      </w:rPr>
    </w:lvl>
    <w:lvl w:ilvl="4" w:tplc="5CC4550A" w:tentative="1">
      <w:start w:val="1"/>
      <w:numFmt w:val="bullet"/>
      <w:lvlText w:val=""/>
      <w:lvlJc w:val="left"/>
      <w:pPr>
        <w:tabs>
          <w:tab w:val="num" w:pos="3600"/>
        </w:tabs>
        <w:ind w:left="3600" w:hanging="360"/>
      </w:pPr>
      <w:rPr>
        <w:rFonts w:ascii="Wingdings" w:hAnsi="Wingdings" w:hint="default"/>
      </w:rPr>
    </w:lvl>
    <w:lvl w:ilvl="5" w:tplc="F232FB48" w:tentative="1">
      <w:start w:val="1"/>
      <w:numFmt w:val="bullet"/>
      <w:lvlText w:val=""/>
      <w:lvlJc w:val="left"/>
      <w:pPr>
        <w:tabs>
          <w:tab w:val="num" w:pos="4320"/>
        </w:tabs>
        <w:ind w:left="4320" w:hanging="360"/>
      </w:pPr>
      <w:rPr>
        <w:rFonts w:ascii="Wingdings" w:hAnsi="Wingdings" w:hint="default"/>
      </w:rPr>
    </w:lvl>
    <w:lvl w:ilvl="6" w:tplc="92765332" w:tentative="1">
      <w:start w:val="1"/>
      <w:numFmt w:val="bullet"/>
      <w:lvlText w:val=""/>
      <w:lvlJc w:val="left"/>
      <w:pPr>
        <w:tabs>
          <w:tab w:val="num" w:pos="5040"/>
        </w:tabs>
        <w:ind w:left="5040" w:hanging="360"/>
      </w:pPr>
      <w:rPr>
        <w:rFonts w:ascii="Wingdings" w:hAnsi="Wingdings" w:hint="default"/>
      </w:rPr>
    </w:lvl>
    <w:lvl w:ilvl="7" w:tplc="35044DEC" w:tentative="1">
      <w:start w:val="1"/>
      <w:numFmt w:val="bullet"/>
      <w:lvlText w:val=""/>
      <w:lvlJc w:val="left"/>
      <w:pPr>
        <w:tabs>
          <w:tab w:val="num" w:pos="5760"/>
        </w:tabs>
        <w:ind w:left="5760" w:hanging="360"/>
      </w:pPr>
      <w:rPr>
        <w:rFonts w:ascii="Wingdings" w:hAnsi="Wingdings" w:hint="default"/>
      </w:rPr>
    </w:lvl>
    <w:lvl w:ilvl="8" w:tplc="BCA243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43BB9"/>
    <w:multiLevelType w:val="hybridMultilevel"/>
    <w:tmpl w:val="AE06C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606AEF"/>
    <w:multiLevelType w:val="hybridMultilevel"/>
    <w:tmpl w:val="26AABD26"/>
    <w:lvl w:ilvl="0" w:tplc="FFFFFFFF">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A03638"/>
    <w:multiLevelType w:val="hybridMultilevel"/>
    <w:tmpl w:val="18F6D348"/>
    <w:lvl w:ilvl="0" w:tplc="25848452">
      <w:start w:val="1"/>
      <w:numFmt w:val="decimal"/>
      <w:lvlText w:val="%1"/>
      <w:lvlJc w:val="left"/>
      <w:pPr>
        <w:ind w:left="1068" w:hanging="70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B304D0"/>
    <w:multiLevelType w:val="multilevel"/>
    <w:tmpl w:val="2DEE75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D005A9"/>
    <w:multiLevelType w:val="hybridMultilevel"/>
    <w:tmpl w:val="CA4C428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D742E3"/>
    <w:multiLevelType w:val="hybridMultilevel"/>
    <w:tmpl w:val="A4167110"/>
    <w:lvl w:ilvl="0" w:tplc="DDB4F03A">
      <w:start w:val="7"/>
      <w:numFmt w:val="lowerLetter"/>
      <w:lvlText w:val="%1)"/>
      <w:lvlJc w:val="left"/>
      <w:pPr>
        <w:ind w:left="720" w:hanging="360"/>
      </w:pPr>
    </w:lvl>
    <w:lvl w:ilvl="1" w:tplc="6D048B44">
      <w:start w:val="1"/>
      <w:numFmt w:val="lowerLetter"/>
      <w:lvlText w:val="%2."/>
      <w:lvlJc w:val="left"/>
      <w:pPr>
        <w:ind w:left="1440" w:hanging="360"/>
      </w:pPr>
    </w:lvl>
    <w:lvl w:ilvl="2" w:tplc="39DC3950">
      <w:start w:val="1"/>
      <w:numFmt w:val="lowerRoman"/>
      <w:lvlText w:val="%3."/>
      <w:lvlJc w:val="right"/>
      <w:pPr>
        <w:ind w:left="2160" w:hanging="180"/>
      </w:pPr>
    </w:lvl>
    <w:lvl w:ilvl="3" w:tplc="00307732">
      <w:start w:val="1"/>
      <w:numFmt w:val="decimal"/>
      <w:lvlText w:val="%4."/>
      <w:lvlJc w:val="left"/>
      <w:pPr>
        <w:ind w:left="2880" w:hanging="360"/>
      </w:pPr>
    </w:lvl>
    <w:lvl w:ilvl="4" w:tplc="4B5216EA">
      <w:start w:val="1"/>
      <w:numFmt w:val="lowerLetter"/>
      <w:lvlText w:val="%5."/>
      <w:lvlJc w:val="left"/>
      <w:pPr>
        <w:ind w:left="3600" w:hanging="360"/>
      </w:pPr>
    </w:lvl>
    <w:lvl w:ilvl="5" w:tplc="646CE8D4">
      <w:start w:val="1"/>
      <w:numFmt w:val="lowerRoman"/>
      <w:lvlText w:val="%6."/>
      <w:lvlJc w:val="right"/>
      <w:pPr>
        <w:ind w:left="4320" w:hanging="180"/>
      </w:pPr>
    </w:lvl>
    <w:lvl w:ilvl="6" w:tplc="D35ABCF6">
      <w:start w:val="1"/>
      <w:numFmt w:val="decimal"/>
      <w:lvlText w:val="%7."/>
      <w:lvlJc w:val="left"/>
      <w:pPr>
        <w:ind w:left="5040" w:hanging="360"/>
      </w:pPr>
    </w:lvl>
    <w:lvl w:ilvl="7" w:tplc="A6EE7730">
      <w:start w:val="1"/>
      <w:numFmt w:val="lowerLetter"/>
      <w:lvlText w:val="%8."/>
      <w:lvlJc w:val="left"/>
      <w:pPr>
        <w:ind w:left="5760" w:hanging="360"/>
      </w:pPr>
    </w:lvl>
    <w:lvl w:ilvl="8" w:tplc="E97E0302">
      <w:start w:val="1"/>
      <w:numFmt w:val="lowerRoman"/>
      <w:lvlText w:val="%9."/>
      <w:lvlJc w:val="right"/>
      <w:pPr>
        <w:ind w:left="6480" w:hanging="180"/>
      </w:pPr>
    </w:lvl>
  </w:abstractNum>
  <w:abstractNum w:abstractNumId="16" w15:restartNumberingAfterBreak="0">
    <w:nsid w:val="696A8E2D"/>
    <w:multiLevelType w:val="hybridMultilevel"/>
    <w:tmpl w:val="CA7EE752"/>
    <w:lvl w:ilvl="0" w:tplc="8DBA9514">
      <w:start w:val="1"/>
      <w:numFmt w:val="bullet"/>
      <w:lvlText w:val=""/>
      <w:lvlJc w:val="left"/>
      <w:pPr>
        <w:ind w:left="720" w:hanging="360"/>
      </w:pPr>
      <w:rPr>
        <w:rFonts w:ascii="Symbol" w:hAnsi="Symbol" w:hint="default"/>
      </w:rPr>
    </w:lvl>
    <w:lvl w:ilvl="1" w:tplc="9D44A746">
      <w:start w:val="1"/>
      <w:numFmt w:val="bullet"/>
      <w:lvlText w:val="o"/>
      <w:lvlJc w:val="left"/>
      <w:pPr>
        <w:ind w:left="1440" w:hanging="360"/>
      </w:pPr>
      <w:rPr>
        <w:rFonts w:ascii="Courier New" w:hAnsi="Courier New" w:hint="default"/>
      </w:rPr>
    </w:lvl>
    <w:lvl w:ilvl="2" w:tplc="CE566E60">
      <w:start w:val="1"/>
      <w:numFmt w:val="bullet"/>
      <w:lvlText w:val=""/>
      <w:lvlJc w:val="left"/>
      <w:pPr>
        <w:ind w:left="2160" w:hanging="360"/>
      </w:pPr>
      <w:rPr>
        <w:rFonts w:ascii="Wingdings" w:hAnsi="Wingdings" w:hint="default"/>
      </w:rPr>
    </w:lvl>
    <w:lvl w:ilvl="3" w:tplc="F1A4D03A">
      <w:start w:val="1"/>
      <w:numFmt w:val="bullet"/>
      <w:lvlText w:val=""/>
      <w:lvlJc w:val="left"/>
      <w:pPr>
        <w:ind w:left="2880" w:hanging="360"/>
      </w:pPr>
      <w:rPr>
        <w:rFonts w:ascii="Symbol" w:hAnsi="Symbol" w:hint="default"/>
      </w:rPr>
    </w:lvl>
    <w:lvl w:ilvl="4" w:tplc="D9A63734">
      <w:start w:val="1"/>
      <w:numFmt w:val="bullet"/>
      <w:lvlText w:val="o"/>
      <w:lvlJc w:val="left"/>
      <w:pPr>
        <w:ind w:left="3600" w:hanging="360"/>
      </w:pPr>
      <w:rPr>
        <w:rFonts w:ascii="Courier New" w:hAnsi="Courier New" w:hint="default"/>
      </w:rPr>
    </w:lvl>
    <w:lvl w:ilvl="5" w:tplc="0E28821C">
      <w:start w:val="1"/>
      <w:numFmt w:val="bullet"/>
      <w:lvlText w:val=""/>
      <w:lvlJc w:val="left"/>
      <w:pPr>
        <w:ind w:left="4320" w:hanging="360"/>
      </w:pPr>
      <w:rPr>
        <w:rFonts w:ascii="Wingdings" w:hAnsi="Wingdings" w:hint="default"/>
      </w:rPr>
    </w:lvl>
    <w:lvl w:ilvl="6" w:tplc="0FA6AE94">
      <w:start w:val="1"/>
      <w:numFmt w:val="bullet"/>
      <w:lvlText w:val=""/>
      <w:lvlJc w:val="left"/>
      <w:pPr>
        <w:ind w:left="5040" w:hanging="360"/>
      </w:pPr>
      <w:rPr>
        <w:rFonts w:ascii="Symbol" w:hAnsi="Symbol" w:hint="default"/>
      </w:rPr>
    </w:lvl>
    <w:lvl w:ilvl="7" w:tplc="1402100E">
      <w:start w:val="1"/>
      <w:numFmt w:val="bullet"/>
      <w:lvlText w:val="o"/>
      <w:lvlJc w:val="left"/>
      <w:pPr>
        <w:ind w:left="5760" w:hanging="360"/>
      </w:pPr>
      <w:rPr>
        <w:rFonts w:ascii="Courier New" w:hAnsi="Courier New" w:hint="default"/>
      </w:rPr>
    </w:lvl>
    <w:lvl w:ilvl="8" w:tplc="32BCB620">
      <w:start w:val="1"/>
      <w:numFmt w:val="bullet"/>
      <w:lvlText w:val=""/>
      <w:lvlJc w:val="left"/>
      <w:pPr>
        <w:ind w:left="6480" w:hanging="360"/>
      </w:pPr>
      <w:rPr>
        <w:rFonts w:ascii="Wingdings" w:hAnsi="Wingdings" w:hint="default"/>
      </w:rPr>
    </w:lvl>
  </w:abstractNum>
  <w:abstractNum w:abstractNumId="17" w15:restartNumberingAfterBreak="0">
    <w:nsid w:val="696E7312"/>
    <w:multiLevelType w:val="hybridMultilevel"/>
    <w:tmpl w:val="A6EC554E"/>
    <w:lvl w:ilvl="0" w:tplc="0A42C780">
      <w:start w:val="8"/>
      <w:numFmt w:val="lowerLetter"/>
      <w:lvlText w:val="%1)"/>
      <w:lvlJc w:val="left"/>
      <w:pPr>
        <w:ind w:left="720" w:hanging="360"/>
      </w:pPr>
    </w:lvl>
    <w:lvl w:ilvl="1" w:tplc="EC6CAE72">
      <w:start w:val="1"/>
      <w:numFmt w:val="lowerLetter"/>
      <w:lvlText w:val="%2."/>
      <w:lvlJc w:val="left"/>
      <w:pPr>
        <w:ind w:left="1440" w:hanging="360"/>
      </w:pPr>
    </w:lvl>
    <w:lvl w:ilvl="2" w:tplc="DCCC1E40">
      <w:start w:val="1"/>
      <w:numFmt w:val="lowerRoman"/>
      <w:lvlText w:val="%3."/>
      <w:lvlJc w:val="right"/>
      <w:pPr>
        <w:ind w:left="2160" w:hanging="180"/>
      </w:pPr>
    </w:lvl>
    <w:lvl w:ilvl="3" w:tplc="FC145474">
      <w:start w:val="1"/>
      <w:numFmt w:val="decimal"/>
      <w:lvlText w:val="%4."/>
      <w:lvlJc w:val="left"/>
      <w:pPr>
        <w:ind w:left="2880" w:hanging="360"/>
      </w:pPr>
    </w:lvl>
    <w:lvl w:ilvl="4" w:tplc="6A001246">
      <w:start w:val="1"/>
      <w:numFmt w:val="lowerLetter"/>
      <w:lvlText w:val="%5."/>
      <w:lvlJc w:val="left"/>
      <w:pPr>
        <w:ind w:left="3600" w:hanging="360"/>
      </w:pPr>
    </w:lvl>
    <w:lvl w:ilvl="5" w:tplc="50F07F84">
      <w:start w:val="1"/>
      <w:numFmt w:val="lowerRoman"/>
      <w:lvlText w:val="%6."/>
      <w:lvlJc w:val="right"/>
      <w:pPr>
        <w:ind w:left="4320" w:hanging="180"/>
      </w:pPr>
    </w:lvl>
    <w:lvl w:ilvl="6" w:tplc="6DD26DA4">
      <w:start w:val="1"/>
      <w:numFmt w:val="decimal"/>
      <w:lvlText w:val="%7."/>
      <w:lvlJc w:val="left"/>
      <w:pPr>
        <w:ind w:left="5040" w:hanging="360"/>
      </w:pPr>
    </w:lvl>
    <w:lvl w:ilvl="7" w:tplc="B8C84644">
      <w:start w:val="1"/>
      <w:numFmt w:val="lowerLetter"/>
      <w:lvlText w:val="%8."/>
      <w:lvlJc w:val="left"/>
      <w:pPr>
        <w:ind w:left="5760" w:hanging="360"/>
      </w:pPr>
    </w:lvl>
    <w:lvl w:ilvl="8" w:tplc="0D908AB6">
      <w:start w:val="1"/>
      <w:numFmt w:val="lowerRoman"/>
      <w:lvlText w:val="%9."/>
      <w:lvlJc w:val="right"/>
      <w:pPr>
        <w:ind w:left="6480" w:hanging="180"/>
      </w:pPr>
    </w:lvl>
  </w:abstractNum>
  <w:abstractNum w:abstractNumId="18" w15:restartNumberingAfterBreak="0">
    <w:nsid w:val="6BF01905"/>
    <w:multiLevelType w:val="multilevel"/>
    <w:tmpl w:val="EB1E6C5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2662A7"/>
    <w:multiLevelType w:val="multilevel"/>
    <w:tmpl w:val="EB1E6C5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4999403">
    <w:abstractNumId w:val="7"/>
  </w:num>
  <w:num w:numId="2" w16cid:durableId="770467833">
    <w:abstractNumId w:val="16"/>
  </w:num>
  <w:num w:numId="3" w16cid:durableId="1438721299">
    <w:abstractNumId w:val="4"/>
  </w:num>
  <w:num w:numId="4" w16cid:durableId="628052085">
    <w:abstractNumId w:val="17"/>
  </w:num>
  <w:num w:numId="5" w16cid:durableId="1197306277">
    <w:abstractNumId w:val="15"/>
  </w:num>
  <w:num w:numId="6" w16cid:durableId="983585611">
    <w:abstractNumId w:val="12"/>
  </w:num>
  <w:num w:numId="7" w16cid:durableId="1343051409">
    <w:abstractNumId w:val="11"/>
  </w:num>
  <w:num w:numId="8" w16cid:durableId="157770508">
    <w:abstractNumId w:val="11"/>
    <w:lvlOverride w:ilvl="0">
      <w:startOverride w:val="1"/>
    </w:lvlOverride>
  </w:num>
  <w:num w:numId="9" w16cid:durableId="716902685">
    <w:abstractNumId w:val="11"/>
    <w:lvlOverride w:ilvl="0">
      <w:startOverride w:val="1"/>
    </w:lvlOverride>
  </w:num>
  <w:num w:numId="10" w16cid:durableId="1752895489">
    <w:abstractNumId w:val="11"/>
    <w:lvlOverride w:ilvl="0">
      <w:startOverride w:val="1"/>
    </w:lvlOverride>
  </w:num>
  <w:num w:numId="11" w16cid:durableId="71590974">
    <w:abstractNumId w:val="11"/>
  </w:num>
  <w:num w:numId="12" w16cid:durableId="607665658">
    <w:abstractNumId w:val="11"/>
    <w:lvlOverride w:ilvl="0">
      <w:startOverride w:val="1"/>
    </w:lvlOverride>
  </w:num>
  <w:num w:numId="13" w16cid:durableId="1290669755">
    <w:abstractNumId w:val="11"/>
    <w:lvlOverride w:ilvl="0">
      <w:startOverride w:val="1"/>
    </w:lvlOverride>
  </w:num>
  <w:num w:numId="14" w16cid:durableId="646594703">
    <w:abstractNumId w:val="10"/>
  </w:num>
  <w:num w:numId="15" w16cid:durableId="2076582643">
    <w:abstractNumId w:val="1"/>
  </w:num>
  <w:num w:numId="16" w16cid:durableId="1974290317">
    <w:abstractNumId w:val="2"/>
  </w:num>
  <w:num w:numId="17" w16cid:durableId="120853373">
    <w:abstractNumId w:val="5"/>
  </w:num>
  <w:num w:numId="18" w16cid:durableId="1756513105">
    <w:abstractNumId w:val="9"/>
  </w:num>
  <w:num w:numId="19" w16cid:durableId="285159870">
    <w:abstractNumId w:val="14"/>
  </w:num>
  <w:num w:numId="20" w16cid:durableId="1069691948">
    <w:abstractNumId w:val="11"/>
    <w:lvlOverride w:ilvl="0">
      <w:startOverride w:val="1"/>
    </w:lvlOverride>
  </w:num>
  <w:num w:numId="21" w16cid:durableId="106656161">
    <w:abstractNumId w:val="3"/>
  </w:num>
  <w:num w:numId="22" w16cid:durableId="288054345">
    <w:abstractNumId w:val="13"/>
  </w:num>
  <w:num w:numId="23" w16cid:durableId="1413576290">
    <w:abstractNumId w:val="0"/>
  </w:num>
  <w:num w:numId="24" w16cid:durableId="1739403734">
    <w:abstractNumId w:val="19"/>
  </w:num>
  <w:num w:numId="25" w16cid:durableId="824587791">
    <w:abstractNumId w:val="18"/>
  </w:num>
  <w:num w:numId="26" w16cid:durableId="1395352324">
    <w:abstractNumId w:val="12"/>
    <w:lvlOverride w:ilvl="0">
      <w:startOverride w:val="1"/>
    </w:lvlOverride>
  </w:num>
  <w:num w:numId="27" w16cid:durableId="19875125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9675304">
    <w:abstractNumId w:val="6"/>
  </w:num>
  <w:num w:numId="29" w16cid:durableId="223833875">
    <w:abstractNumId w:val="8"/>
  </w:num>
  <w:num w:numId="30" w16cid:durableId="1295869485">
    <w:abstractNumId w:val="0"/>
  </w:num>
  <w:num w:numId="31" w16cid:durableId="67187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4E"/>
    <w:rsid w:val="00015477"/>
    <w:rsid w:val="00024A03"/>
    <w:rsid w:val="0006153E"/>
    <w:rsid w:val="000615AB"/>
    <w:rsid w:val="00065CAF"/>
    <w:rsid w:val="000713DA"/>
    <w:rsid w:val="00086076"/>
    <w:rsid w:val="00090A43"/>
    <w:rsid w:val="000A74BF"/>
    <w:rsid w:val="000A7FA2"/>
    <w:rsid w:val="000B5D09"/>
    <w:rsid w:val="000C17F7"/>
    <w:rsid w:val="000C6C24"/>
    <w:rsid w:val="000C73EE"/>
    <w:rsid w:val="000E6A3C"/>
    <w:rsid w:val="000F439E"/>
    <w:rsid w:val="000F4D59"/>
    <w:rsid w:val="00101859"/>
    <w:rsid w:val="00115132"/>
    <w:rsid w:val="00124471"/>
    <w:rsid w:val="00141183"/>
    <w:rsid w:val="00184EF0"/>
    <w:rsid w:val="001962A6"/>
    <w:rsid w:val="001D286C"/>
    <w:rsid w:val="001D7512"/>
    <w:rsid w:val="001E008C"/>
    <w:rsid w:val="001F4C4E"/>
    <w:rsid w:val="001F7078"/>
    <w:rsid w:val="00224DF2"/>
    <w:rsid w:val="0022643C"/>
    <w:rsid w:val="00226D2B"/>
    <w:rsid w:val="00227A72"/>
    <w:rsid w:val="00232965"/>
    <w:rsid w:val="00251AE1"/>
    <w:rsid w:val="002544B0"/>
    <w:rsid w:val="00267083"/>
    <w:rsid w:val="002701BE"/>
    <w:rsid w:val="002859E1"/>
    <w:rsid w:val="002B0EBB"/>
    <w:rsid w:val="002C39FA"/>
    <w:rsid w:val="002C65D3"/>
    <w:rsid w:val="002D21AF"/>
    <w:rsid w:val="002D55B1"/>
    <w:rsid w:val="002E0082"/>
    <w:rsid w:val="00310D8F"/>
    <w:rsid w:val="003123A7"/>
    <w:rsid w:val="003512D5"/>
    <w:rsid w:val="0037388C"/>
    <w:rsid w:val="00382143"/>
    <w:rsid w:val="00390416"/>
    <w:rsid w:val="0039161B"/>
    <w:rsid w:val="003A18E8"/>
    <w:rsid w:val="003A4EA6"/>
    <w:rsid w:val="003A7375"/>
    <w:rsid w:val="003B3692"/>
    <w:rsid w:val="003B5DAE"/>
    <w:rsid w:val="003C2CCD"/>
    <w:rsid w:val="003C7F44"/>
    <w:rsid w:val="003E0F85"/>
    <w:rsid w:val="003E61F3"/>
    <w:rsid w:val="004034FE"/>
    <w:rsid w:val="00405A21"/>
    <w:rsid w:val="00407AB6"/>
    <w:rsid w:val="00436787"/>
    <w:rsid w:val="00436D7A"/>
    <w:rsid w:val="004377C5"/>
    <w:rsid w:val="0044152A"/>
    <w:rsid w:val="00445DDF"/>
    <w:rsid w:val="00450470"/>
    <w:rsid w:val="00457192"/>
    <w:rsid w:val="00476C15"/>
    <w:rsid w:val="00484F0A"/>
    <w:rsid w:val="0048732F"/>
    <w:rsid w:val="00494663"/>
    <w:rsid w:val="004A57DB"/>
    <w:rsid w:val="004B4AB7"/>
    <w:rsid w:val="004C23FD"/>
    <w:rsid w:val="004C275F"/>
    <w:rsid w:val="004C54A2"/>
    <w:rsid w:val="004E4A50"/>
    <w:rsid w:val="004E5327"/>
    <w:rsid w:val="004E6FFE"/>
    <w:rsid w:val="004F0F3C"/>
    <w:rsid w:val="00515F21"/>
    <w:rsid w:val="00532D60"/>
    <w:rsid w:val="005375FD"/>
    <w:rsid w:val="0056126B"/>
    <w:rsid w:val="00567BE5"/>
    <w:rsid w:val="005A0816"/>
    <w:rsid w:val="005A5D51"/>
    <w:rsid w:val="005A6FED"/>
    <w:rsid w:val="005A75FE"/>
    <w:rsid w:val="005B5EFA"/>
    <w:rsid w:val="005F680F"/>
    <w:rsid w:val="00600F04"/>
    <w:rsid w:val="00606DAA"/>
    <w:rsid w:val="00612F33"/>
    <w:rsid w:val="006134CC"/>
    <w:rsid w:val="00613A4F"/>
    <w:rsid w:val="00621653"/>
    <w:rsid w:val="0064111A"/>
    <w:rsid w:val="00641A5B"/>
    <w:rsid w:val="00650AC8"/>
    <w:rsid w:val="00663792"/>
    <w:rsid w:val="00682839"/>
    <w:rsid w:val="0069269C"/>
    <w:rsid w:val="006A00FE"/>
    <w:rsid w:val="006A1598"/>
    <w:rsid w:val="006B3FD7"/>
    <w:rsid w:val="006C1F48"/>
    <w:rsid w:val="006C5C3D"/>
    <w:rsid w:val="006C625F"/>
    <w:rsid w:val="006E1E69"/>
    <w:rsid w:val="006E5789"/>
    <w:rsid w:val="006E7EB7"/>
    <w:rsid w:val="006F74E7"/>
    <w:rsid w:val="00720EAD"/>
    <w:rsid w:val="00723656"/>
    <w:rsid w:val="00724F58"/>
    <w:rsid w:val="00726D2D"/>
    <w:rsid w:val="007415A3"/>
    <w:rsid w:val="0076400B"/>
    <w:rsid w:val="00772336"/>
    <w:rsid w:val="00772A1C"/>
    <w:rsid w:val="0077375C"/>
    <w:rsid w:val="00774993"/>
    <w:rsid w:val="00775441"/>
    <w:rsid w:val="00785907"/>
    <w:rsid w:val="007877BB"/>
    <w:rsid w:val="007901F8"/>
    <w:rsid w:val="0079268C"/>
    <w:rsid w:val="0079285D"/>
    <w:rsid w:val="00794547"/>
    <w:rsid w:val="00796EC1"/>
    <w:rsid w:val="0079757C"/>
    <w:rsid w:val="007A1415"/>
    <w:rsid w:val="007A185E"/>
    <w:rsid w:val="007A6F8D"/>
    <w:rsid w:val="007B39E7"/>
    <w:rsid w:val="007B48B4"/>
    <w:rsid w:val="007B6BC1"/>
    <w:rsid w:val="007C221D"/>
    <w:rsid w:val="007C2B9A"/>
    <w:rsid w:val="007D0598"/>
    <w:rsid w:val="007D10CD"/>
    <w:rsid w:val="007D4758"/>
    <w:rsid w:val="007E3EFD"/>
    <w:rsid w:val="007F4C23"/>
    <w:rsid w:val="007F693F"/>
    <w:rsid w:val="00802CF5"/>
    <w:rsid w:val="00810FFA"/>
    <w:rsid w:val="00811523"/>
    <w:rsid w:val="008169AB"/>
    <w:rsid w:val="00844619"/>
    <w:rsid w:val="00844C51"/>
    <w:rsid w:val="008461B3"/>
    <w:rsid w:val="008500AE"/>
    <w:rsid w:val="0088766F"/>
    <w:rsid w:val="008942F3"/>
    <w:rsid w:val="008A1D66"/>
    <w:rsid w:val="008A5CCD"/>
    <w:rsid w:val="008A6333"/>
    <w:rsid w:val="008D1F31"/>
    <w:rsid w:val="008E773E"/>
    <w:rsid w:val="008F2A98"/>
    <w:rsid w:val="00905845"/>
    <w:rsid w:val="00911ED5"/>
    <w:rsid w:val="00912C70"/>
    <w:rsid w:val="00921A8F"/>
    <w:rsid w:val="00932871"/>
    <w:rsid w:val="00935A1A"/>
    <w:rsid w:val="00946135"/>
    <w:rsid w:val="00946ECC"/>
    <w:rsid w:val="009502FE"/>
    <w:rsid w:val="009554B6"/>
    <w:rsid w:val="00963CA8"/>
    <w:rsid w:val="00963DE3"/>
    <w:rsid w:val="00966C64"/>
    <w:rsid w:val="0097685F"/>
    <w:rsid w:val="00993AB0"/>
    <w:rsid w:val="00996695"/>
    <w:rsid w:val="009B2FE3"/>
    <w:rsid w:val="009D354A"/>
    <w:rsid w:val="00A04F2D"/>
    <w:rsid w:val="00A30E70"/>
    <w:rsid w:val="00A42848"/>
    <w:rsid w:val="00A4359D"/>
    <w:rsid w:val="00A5109F"/>
    <w:rsid w:val="00A7748D"/>
    <w:rsid w:val="00A77C83"/>
    <w:rsid w:val="00A873FB"/>
    <w:rsid w:val="00AA66FC"/>
    <w:rsid w:val="00AC1F4E"/>
    <w:rsid w:val="00AC3516"/>
    <w:rsid w:val="00AC3779"/>
    <w:rsid w:val="00B00235"/>
    <w:rsid w:val="00B35170"/>
    <w:rsid w:val="00B46A7B"/>
    <w:rsid w:val="00B475D2"/>
    <w:rsid w:val="00B51E16"/>
    <w:rsid w:val="00B568D8"/>
    <w:rsid w:val="00B6423C"/>
    <w:rsid w:val="00B70333"/>
    <w:rsid w:val="00B8633B"/>
    <w:rsid w:val="00BB17E4"/>
    <w:rsid w:val="00BB1E01"/>
    <w:rsid w:val="00BB33DC"/>
    <w:rsid w:val="00BC03D8"/>
    <w:rsid w:val="00BC38DD"/>
    <w:rsid w:val="00BC4BEC"/>
    <w:rsid w:val="00BF7F97"/>
    <w:rsid w:val="00C01CAA"/>
    <w:rsid w:val="00C06378"/>
    <w:rsid w:val="00C146C5"/>
    <w:rsid w:val="00C1598A"/>
    <w:rsid w:val="00C31070"/>
    <w:rsid w:val="00C55016"/>
    <w:rsid w:val="00C55E87"/>
    <w:rsid w:val="00C570F3"/>
    <w:rsid w:val="00C83D54"/>
    <w:rsid w:val="00C90779"/>
    <w:rsid w:val="00CA2BC0"/>
    <w:rsid w:val="00CA3AF0"/>
    <w:rsid w:val="00CC2379"/>
    <w:rsid w:val="00CD0001"/>
    <w:rsid w:val="00CD1158"/>
    <w:rsid w:val="00CD1FB1"/>
    <w:rsid w:val="00CE28B1"/>
    <w:rsid w:val="00CF19E8"/>
    <w:rsid w:val="00D11CE8"/>
    <w:rsid w:val="00D17C4E"/>
    <w:rsid w:val="00D26FBF"/>
    <w:rsid w:val="00D31074"/>
    <w:rsid w:val="00D3259D"/>
    <w:rsid w:val="00D5198B"/>
    <w:rsid w:val="00D5306E"/>
    <w:rsid w:val="00D65163"/>
    <w:rsid w:val="00D73DF4"/>
    <w:rsid w:val="00D854C5"/>
    <w:rsid w:val="00DA57C3"/>
    <w:rsid w:val="00DA752A"/>
    <w:rsid w:val="00DA78AD"/>
    <w:rsid w:val="00DC2ABF"/>
    <w:rsid w:val="00DE0612"/>
    <w:rsid w:val="00DE486F"/>
    <w:rsid w:val="00E02EAB"/>
    <w:rsid w:val="00E04B7C"/>
    <w:rsid w:val="00E061E2"/>
    <w:rsid w:val="00E10059"/>
    <w:rsid w:val="00E15D1E"/>
    <w:rsid w:val="00E225EC"/>
    <w:rsid w:val="00E40D15"/>
    <w:rsid w:val="00E71A0F"/>
    <w:rsid w:val="00E81376"/>
    <w:rsid w:val="00E87344"/>
    <w:rsid w:val="00E96B90"/>
    <w:rsid w:val="00EC0F62"/>
    <w:rsid w:val="00EC5AEB"/>
    <w:rsid w:val="00EE3B0B"/>
    <w:rsid w:val="00EF5420"/>
    <w:rsid w:val="00F027DC"/>
    <w:rsid w:val="00F118ED"/>
    <w:rsid w:val="00F24501"/>
    <w:rsid w:val="00F35682"/>
    <w:rsid w:val="00F44ADD"/>
    <w:rsid w:val="00F54C31"/>
    <w:rsid w:val="00F6705B"/>
    <w:rsid w:val="00F70409"/>
    <w:rsid w:val="00F87FDF"/>
    <w:rsid w:val="00F92F4F"/>
    <w:rsid w:val="00F97E86"/>
    <w:rsid w:val="00FA13A0"/>
    <w:rsid w:val="00FB0B46"/>
    <w:rsid w:val="00FB23ED"/>
    <w:rsid w:val="00FB6222"/>
    <w:rsid w:val="00FC047C"/>
    <w:rsid w:val="00FD00C5"/>
    <w:rsid w:val="00FE4A7A"/>
    <w:rsid w:val="011A8D52"/>
    <w:rsid w:val="04129A75"/>
    <w:rsid w:val="04787476"/>
    <w:rsid w:val="04FA1B5E"/>
    <w:rsid w:val="05D3EA32"/>
    <w:rsid w:val="0665039D"/>
    <w:rsid w:val="0688C8FE"/>
    <w:rsid w:val="06D1E757"/>
    <w:rsid w:val="074E1425"/>
    <w:rsid w:val="076D14C8"/>
    <w:rsid w:val="0AD5DC35"/>
    <w:rsid w:val="0B762B70"/>
    <w:rsid w:val="0BCD9D39"/>
    <w:rsid w:val="0D2AED40"/>
    <w:rsid w:val="0D89FABA"/>
    <w:rsid w:val="0E021C25"/>
    <w:rsid w:val="0F563A2D"/>
    <w:rsid w:val="100DFA84"/>
    <w:rsid w:val="10F1B095"/>
    <w:rsid w:val="14BCAE87"/>
    <w:rsid w:val="15B8D8D7"/>
    <w:rsid w:val="162F86FE"/>
    <w:rsid w:val="17CF0923"/>
    <w:rsid w:val="198C20E9"/>
    <w:rsid w:val="19E7D2F9"/>
    <w:rsid w:val="1B2DB5FE"/>
    <w:rsid w:val="1B99931A"/>
    <w:rsid w:val="1C2A42B0"/>
    <w:rsid w:val="1D234F07"/>
    <w:rsid w:val="1DE6A90A"/>
    <w:rsid w:val="1ECA5F1B"/>
    <w:rsid w:val="221E4B4B"/>
    <w:rsid w:val="22BF2886"/>
    <w:rsid w:val="24B97E3D"/>
    <w:rsid w:val="26BE842E"/>
    <w:rsid w:val="26D109E8"/>
    <w:rsid w:val="279137E8"/>
    <w:rsid w:val="2866C520"/>
    <w:rsid w:val="29002E44"/>
    <w:rsid w:val="29AD010F"/>
    <w:rsid w:val="2FBD7024"/>
    <w:rsid w:val="3287D6CA"/>
    <w:rsid w:val="33C1005B"/>
    <w:rsid w:val="34177029"/>
    <w:rsid w:val="3521BF91"/>
    <w:rsid w:val="35240C2F"/>
    <w:rsid w:val="3604C7AB"/>
    <w:rsid w:val="3622A9BE"/>
    <w:rsid w:val="363C2097"/>
    <w:rsid w:val="3707259F"/>
    <w:rsid w:val="38A37CE6"/>
    <w:rsid w:val="38A9B814"/>
    <w:rsid w:val="39E2E9C8"/>
    <w:rsid w:val="3A9F85D7"/>
    <w:rsid w:val="3AD6FE37"/>
    <w:rsid w:val="3BE36DBA"/>
    <w:rsid w:val="3C8A15E9"/>
    <w:rsid w:val="3D611A12"/>
    <w:rsid w:val="3EC59C0B"/>
    <w:rsid w:val="43E05C46"/>
    <w:rsid w:val="43EB289D"/>
    <w:rsid w:val="46C88E94"/>
    <w:rsid w:val="46E9B0E2"/>
    <w:rsid w:val="492FC3E8"/>
    <w:rsid w:val="496A9A64"/>
    <w:rsid w:val="4997FF47"/>
    <w:rsid w:val="49F301A1"/>
    <w:rsid w:val="4A45BDBD"/>
    <w:rsid w:val="4D0C11FA"/>
    <w:rsid w:val="4D261E8C"/>
    <w:rsid w:val="4D4C347B"/>
    <w:rsid w:val="4DBF4E64"/>
    <w:rsid w:val="4E09D49D"/>
    <w:rsid w:val="4E78C501"/>
    <w:rsid w:val="50072AA0"/>
    <w:rsid w:val="52F8BBAE"/>
    <w:rsid w:val="535B30BC"/>
    <w:rsid w:val="541F5F01"/>
    <w:rsid w:val="55E18D98"/>
    <w:rsid w:val="56EA2443"/>
    <w:rsid w:val="5778C16C"/>
    <w:rsid w:val="57EA4D5C"/>
    <w:rsid w:val="59C69DCB"/>
    <w:rsid w:val="5B14C069"/>
    <w:rsid w:val="5B2BEF8D"/>
    <w:rsid w:val="5C898795"/>
    <w:rsid w:val="601B11EC"/>
    <w:rsid w:val="60800042"/>
    <w:rsid w:val="64B6552E"/>
    <w:rsid w:val="65106CD8"/>
    <w:rsid w:val="65411DC9"/>
    <w:rsid w:val="65543BAE"/>
    <w:rsid w:val="66B16EB3"/>
    <w:rsid w:val="66B58B85"/>
    <w:rsid w:val="67FCD6B0"/>
    <w:rsid w:val="69FB92E5"/>
    <w:rsid w:val="6A622684"/>
    <w:rsid w:val="6B6D39FD"/>
    <w:rsid w:val="6C871B19"/>
    <w:rsid w:val="6C8AA74A"/>
    <w:rsid w:val="6D59ABDF"/>
    <w:rsid w:val="6F99D4C6"/>
    <w:rsid w:val="72F67229"/>
    <w:rsid w:val="730A2528"/>
    <w:rsid w:val="7310AB4F"/>
    <w:rsid w:val="731B8320"/>
    <w:rsid w:val="772FB6B6"/>
    <w:rsid w:val="79A94E0C"/>
    <w:rsid w:val="79B2AFDD"/>
    <w:rsid w:val="7A6140A9"/>
    <w:rsid w:val="7B97FD35"/>
    <w:rsid w:val="7C1E4F8E"/>
    <w:rsid w:val="7C33EB1B"/>
    <w:rsid w:val="7C42F4C4"/>
    <w:rsid w:val="7D9316BA"/>
    <w:rsid w:val="7E22DC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4A95"/>
  <w15:chartTrackingRefBased/>
  <w15:docId w15:val="{57549C8A-A046-4950-A675-3C2464D8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F563A2D"/>
    <w:rPr>
      <w:rFonts w:ascii="Arial" w:hAnsi="Arial"/>
      <w:lang w:val="en-GB"/>
    </w:rPr>
  </w:style>
  <w:style w:type="paragraph" w:styleId="Heading1">
    <w:name w:val="heading 1"/>
    <w:basedOn w:val="TOC1"/>
    <w:next w:val="Normal"/>
    <w:link w:val="Heading1Char"/>
    <w:qFormat/>
    <w:rsid w:val="0F563A2D"/>
    <w:pPr>
      <w:numPr>
        <w:numId w:val="23"/>
      </w:numPr>
      <w:tabs>
        <w:tab w:val="clear" w:pos="440"/>
        <w:tab w:val="left" w:pos="1134"/>
        <w:tab w:val="left" w:pos="440"/>
      </w:tabs>
      <w:ind w:left="1134" w:hanging="1134"/>
      <w:outlineLvl w:val="0"/>
    </w:pPr>
    <w:rPr>
      <w:rFonts w:eastAsiaTheme="majorEastAsia"/>
      <w:color w:val="365F91" w:themeColor="accent1" w:themeShade="BF"/>
      <w:sz w:val="40"/>
      <w:szCs w:val="40"/>
    </w:rPr>
  </w:style>
  <w:style w:type="paragraph" w:styleId="Heading2">
    <w:name w:val="heading 2"/>
    <w:basedOn w:val="Normal"/>
    <w:next w:val="Normal"/>
    <w:link w:val="Heading2Char"/>
    <w:unhideWhenUsed/>
    <w:qFormat/>
    <w:rsid w:val="0F563A2D"/>
    <w:pPr>
      <w:keepNext/>
      <w:numPr>
        <w:ilvl w:val="1"/>
        <w:numId w:val="23"/>
      </w:numPr>
      <w:spacing w:before="40" w:after="240"/>
      <w:outlineLvl w:val="1"/>
    </w:pPr>
    <w:rPr>
      <w:rFonts w:eastAsiaTheme="majorEastAsia"/>
      <w:color w:val="365F91" w:themeColor="accent1" w:themeShade="BF"/>
      <w:sz w:val="26"/>
      <w:szCs w:val="26"/>
    </w:rPr>
  </w:style>
  <w:style w:type="paragraph" w:styleId="Heading3">
    <w:name w:val="heading 3"/>
    <w:basedOn w:val="Heading2"/>
    <w:next w:val="Normal"/>
    <w:link w:val="Heading3Char"/>
    <w:unhideWhenUsed/>
    <w:qFormat/>
    <w:rsid w:val="0F563A2D"/>
    <w:pPr>
      <w:ind w:hanging="425"/>
      <w:outlineLvl w:val="2"/>
    </w:pPr>
    <w:rPr>
      <w:sz w:val="22"/>
      <w:szCs w:val="22"/>
    </w:rPr>
  </w:style>
  <w:style w:type="paragraph" w:styleId="Heading4">
    <w:name w:val="heading 4"/>
    <w:basedOn w:val="Normal"/>
    <w:next w:val="Normal"/>
    <w:link w:val="Heading4Char"/>
    <w:unhideWhenUsed/>
    <w:qFormat/>
    <w:rsid w:val="0F563A2D"/>
    <w:pPr>
      <w:keepNext/>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F563A2D"/>
    <w:pPr>
      <w:keepNext/>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F563A2D"/>
    <w:pPr>
      <w:keepNext/>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nhideWhenUsed/>
    <w:qFormat/>
    <w:rsid w:val="0F563A2D"/>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nhideWhenUsed/>
    <w:qFormat/>
    <w:rsid w:val="0F563A2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0F563A2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F563A2D"/>
    <w:rPr>
      <w:rFonts w:ascii="Arial" w:eastAsiaTheme="majorEastAsia" w:hAnsi="Arial" w:cs="Arial"/>
      <w:noProof w:val="0"/>
      <w:color w:val="365F91" w:themeColor="accent1" w:themeShade="BF"/>
      <w:sz w:val="40"/>
      <w:szCs w:val="40"/>
      <w:lang w:val="en-GB"/>
    </w:rPr>
  </w:style>
  <w:style w:type="character" w:customStyle="1" w:styleId="Heading2Char">
    <w:name w:val="Heading 2 Char"/>
    <w:basedOn w:val="DefaultParagraphFont"/>
    <w:link w:val="Heading2"/>
    <w:rsid w:val="0F563A2D"/>
    <w:rPr>
      <w:rFonts w:ascii="Arial" w:eastAsiaTheme="majorEastAsia" w:hAnsi="Arial" w:cs="Arial"/>
      <w:noProof w:val="0"/>
      <w:color w:val="365F91" w:themeColor="accent1" w:themeShade="BF"/>
      <w:sz w:val="26"/>
      <w:szCs w:val="26"/>
      <w:lang w:val="en-GB"/>
    </w:rPr>
  </w:style>
  <w:style w:type="paragraph" w:styleId="Header">
    <w:name w:val="header"/>
    <w:basedOn w:val="Normal"/>
    <w:link w:val="HeaderChar"/>
    <w:unhideWhenUsed/>
    <w:rsid w:val="0F563A2D"/>
    <w:pPr>
      <w:tabs>
        <w:tab w:val="center" w:pos="4513"/>
        <w:tab w:val="right" w:pos="9026"/>
      </w:tabs>
      <w:spacing w:after="0"/>
    </w:pPr>
  </w:style>
  <w:style w:type="character" w:customStyle="1" w:styleId="HeaderChar">
    <w:name w:val="Header Char"/>
    <w:basedOn w:val="DefaultParagraphFont"/>
    <w:link w:val="Header"/>
    <w:rsid w:val="0F563A2D"/>
    <w:rPr>
      <w:noProof w:val="0"/>
      <w:lang w:val="en-GB"/>
    </w:rPr>
  </w:style>
  <w:style w:type="paragraph" w:styleId="Footer">
    <w:name w:val="footer"/>
    <w:basedOn w:val="Normal"/>
    <w:link w:val="FooterChar"/>
    <w:unhideWhenUsed/>
    <w:rsid w:val="0F563A2D"/>
    <w:pPr>
      <w:tabs>
        <w:tab w:val="center" w:pos="4513"/>
        <w:tab w:val="right" w:pos="9026"/>
      </w:tabs>
      <w:spacing w:after="0"/>
    </w:pPr>
  </w:style>
  <w:style w:type="character" w:customStyle="1" w:styleId="FooterChar">
    <w:name w:val="Footer Char"/>
    <w:basedOn w:val="DefaultParagraphFont"/>
    <w:link w:val="Footer"/>
    <w:rsid w:val="0F563A2D"/>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qFormat/>
    <w:rsid w:val="0F563A2D"/>
    <w:pPr>
      <w:ind w:left="720"/>
      <w:contextualSpacing/>
    </w:pPr>
  </w:style>
  <w:style w:type="paragraph" w:styleId="TOCHeading">
    <w:name w:val="TOC Heading"/>
    <w:basedOn w:val="Heading1"/>
    <w:next w:val="Normal"/>
    <w:unhideWhenUsed/>
    <w:qFormat/>
    <w:rsid w:val="0F563A2D"/>
    <w:rPr>
      <w:lang w:val="en-US"/>
    </w:rPr>
  </w:style>
  <w:style w:type="paragraph" w:styleId="TOC1">
    <w:name w:val="toc 1"/>
    <w:basedOn w:val="Normal"/>
    <w:next w:val="Normal"/>
    <w:uiPriority w:val="39"/>
    <w:unhideWhenUsed/>
    <w:rsid w:val="0F563A2D"/>
    <w:pPr>
      <w:tabs>
        <w:tab w:val="left" w:pos="440"/>
        <w:tab w:val="right" w:leader="dot" w:pos="9062"/>
      </w:tabs>
      <w:spacing w:after="100"/>
    </w:pPr>
  </w:style>
  <w:style w:type="paragraph" w:styleId="TOC2">
    <w:name w:val="toc 2"/>
    <w:basedOn w:val="Normal"/>
    <w:next w:val="Normal"/>
    <w:uiPriority w:val="39"/>
    <w:unhideWhenUsed/>
    <w:rsid w:val="0F563A2D"/>
    <w:pPr>
      <w:tabs>
        <w:tab w:val="left" w:pos="880"/>
        <w:tab w:val="right" w:leader="dot" w:pos="9062"/>
      </w:tabs>
      <w:spacing w:after="100"/>
      <w:ind w:left="220"/>
    </w:pPr>
  </w:style>
  <w:style w:type="character" w:styleId="Hyperlink">
    <w:name w:val="Hyperlink"/>
    <w:basedOn w:val="DefaultParagraphFont"/>
    <w:uiPriority w:val="99"/>
    <w:unhideWhenUsed/>
    <w:rsid w:val="00E225EC"/>
    <w:rPr>
      <w:color w:val="0000FF" w:themeColor="hyperlink"/>
      <w:u w:val="single"/>
    </w:rPr>
  </w:style>
  <w:style w:type="paragraph" w:styleId="BalloonText">
    <w:name w:val="Balloon Text"/>
    <w:basedOn w:val="Normal"/>
    <w:link w:val="BalloonTextChar"/>
    <w:semiHidden/>
    <w:unhideWhenUsed/>
    <w:rsid w:val="0F563A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F563A2D"/>
    <w:rPr>
      <w:rFonts w:ascii="Segoe UI" w:eastAsiaTheme="minorEastAsia" w:hAnsi="Segoe UI" w:cs="Segoe UI"/>
      <w:noProof w:val="0"/>
      <w:sz w:val="18"/>
      <w:szCs w:val="18"/>
      <w:lang w:val="en-GB"/>
    </w:rPr>
  </w:style>
  <w:style w:type="table" w:styleId="PlainTable2">
    <w:name w:val="Plain Table 2"/>
    <w:basedOn w:val="TableNormal"/>
    <w:uiPriority w:val="42"/>
    <w:rsid w:val="00BC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C4BEC"/>
    <w:rPr>
      <w:sz w:val="16"/>
      <w:szCs w:val="16"/>
    </w:rPr>
  </w:style>
  <w:style w:type="paragraph" w:styleId="CommentText">
    <w:name w:val="annotation text"/>
    <w:basedOn w:val="Normal"/>
    <w:link w:val="CommentTextChar"/>
    <w:unhideWhenUsed/>
    <w:rsid w:val="0F563A2D"/>
    <w:rPr>
      <w:sz w:val="20"/>
      <w:szCs w:val="20"/>
    </w:rPr>
  </w:style>
  <w:style w:type="character" w:customStyle="1" w:styleId="CommentTextChar">
    <w:name w:val="Comment Text Char"/>
    <w:basedOn w:val="DefaultParagraphFont"/>
    <w:link w:val="CommentText"/>
    <w:rsid w:val="0F563A2D"/>
    <w:rPr>
      <w:noProof w:val="0"/>
      <w:sz w:val="20"/>
      <w:szCs w:val="20"/>
      <w:lang w:val="en-GB"/>
    </w:rPr>
  </w:style>
  <w:style w:type="paragraph" w:styleId="CommentSubject">
    <w:name w:val="annotation subject"/>
    <w:basedOn w:val="CommentText"/>
    <w:next w:val="CommentText"/>
    <w:link w:val="CommentSubjectChar"/>
    <w:semiHidden/>
    <w:unhideWhenUsed/>
    <w:rsid w:val="0F563A2D"/>
    <w:rPr>
      <w:b/>
      <w:bCs/>
    </w:rPr>
  </w:style>
  <w:style w:type="character" w:customStyle="1" w:styleId="CommentSubjectChar">
    <w:name w:val="Comment Subject Char"/>
    <w:basedOn w:val="CommentTextChar"/>
    <w:link w:val="CommentSubject"/>
    <w:semiHidden/>
    <w:rsid w:val="0F563A2D"/>
    <w:rPr>
      <w:b/>
      <w:bCs/>
      <w:noProof w:val="0"/>
      <w:sz w:val="20"/>
      <w:szCs w:val="20"/>
      <w:lang w:val="en-GB"/>
    </w:rPr>
  </w:style>
  <w:style w:type="paragraph" w:styleId="Caption">
    <w:name w:val="caption"/>
    <w:basedOn w:val="Normal"/>
    <w:next w:val="Normal"/>
    <w:unhideWhenUsed/>
    <w:qFormat/>
    <w:rsid w:val="0F563A2D"/>
    <w:pPr>
      <w:spacing w:after="200"/>
    </w:pPr>
    <w:rPr>
      <w:i/>
      <w:iCs/>
      <w:color w:val="1F497D" w:themeColor="text2"/>
      <w:sz w:val="18"/>
      <w:szCs w:val="18"/>
    </w:rPr>
  </w:style>
  <w:style w:type="table" w:styleId="TableGridLight">
    <w:name w:val="Grid Table Light"/>
    <w:basedOn w:val="TableNormal"/>
    <w:uiPriority w:val="40"/>
    <w:rsid w:val="00BC4B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4B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C4B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F563A2D"/>
    <w:pPr>
      <w:spacing w:after="0"/>
    </w:pPr>
    <w:rPr>
      <w:sz w:val="20"/>
      <w:szCs w:val="20"/>
    </w:rPr>
  </w:style>
  <w:style w:type="character" w:customStyle="1" w:styleId="FootnoteTextChar">
    <w:name w:val="Footnote Text Char"/>
    <w:basedOn w:val="DefaultParagraphFont"/>
    <w:link w:val="FootnoteText"/>
    <w:semiHidden/>
    <w:rsid w:val="0F563A2D"/>
    <w:rPr>
      <w:noProof w:val="0"/>
      <w:sz w:val="20"/>
      <w:szCs w:val="20"/>
      <w:lang w:val="en-GB"/>
    </w:rPr>
  </w:style>
  <w:style w:type="character" w:styleId="FootnoteReference">
    <w:name w:val="footnote reference"/>
    <w:basedOn w:val="DefaultParagraphFont"/>
    <w:unhideWhenUsed/>
    <w:rsid w:val="004377C5"/>
    <w:rPr>
      <w:vertAlign w:val="superscript"/>
    </w:rPr>
  </w:style>
  <w:style w:type="character" w:customStyle="1" w:styleId="UnresolvedMention1">
    <w:name w:val="Unresolved Mention1"/>
    <w:basedOn w:val="DefaultParagraphFont"/>
    <w:uiPriority w:val="99"/>
    <w:semiHidden/>
    <w:unhideWhenUsed/>
    <w:rsid w:val="004377C5"/>
    <w:rPr>
      <w:color w:val="605E5C"/>
      <w:shd w:val="clear" w:color="auto" w:fill="E1DFDD"/>
    </w:rPr>
  </w:style>
  <w:style w:type="character" w:customStyle="1" w:styleId="Heading3Char">
    <w:name w:val="Heading 3 Char"/>
    <w:basedOn w:val="DefaultParagraphFont"/>
    <w:link w:val="Heading3"/>
    <w:rsid w:val="0F563A2D"/>
    <w:rPr>
      <w:rFonts w:ascii="Arial" w:eastAsiaTheme="majorEastAsia" w:hAnsi="Arial" w:cs="Arial"/>
      <w:noProof w:val="0"/>
      <w:color w:val="365F91" w:themeColor="accent1" w:themeShade="BF"/>
      <w:lang w:val="en-GB"/>
    </w:rPr>
  </w:style>
  <w:style w:type="paragraph" w:styleId="TOC3">
    <w:name w:val="toc 3"/>
    <w:basedOn w:val="Normal"/>
    <w:next w:val="Normal"/>
    <w:unhideWhenUsed/>
    <w:rsid w:val="0F563A2D"/>
    <w:pPr>
      <w:spacing w:after="100"/>
      <w:ind w:left="440"/>
    </w:pPr>
  </w:style>
  <w:style w:type="paragraph" w:styleId="Revision">
    <w:name w:val="Revision"/>
    <w:hidden/>
    <w:uiPriority w:val="99"/>
    <w:semiHidden/>
    <w:rsid w:val="00476C15"/>
    <w:pPr>
      <w:spacing w:after="0" w:line="240" w:lineRule="auto"/>
    </w:pPr>
  </w:style>
  <w:style w:type="table" w:styleId="GridTable1Light-Accent2">
    <w:name w:val="Grid Table 1 Light Accent 2"/>
    <w:basedOn w:val="TableNormal"/>
    <w:uiPriority w:val="46"/>
    <w:rsid w:val="0038214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356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
    <w:name w:val="List Table 2"/>
    <w:basedOn w:val="TableNormal"/>
    <w:uiPriority w:val="47"/>
    <w:rsid w:val="003821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356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C063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C73EE"/>
    <w:rPr>
      <w:color w:val="605E5C"/>
      <w:shd w:val="clear" w:color="auto" w:fill="E1DFDD"/>
    </w:rPr>
  </w:style>
  <w:style w:type="paragraph" w:styleId="Title">
    <w:name w:val="Title"/>
    <w:basedOn w:val="Normal"/>
    <w:next w:val="Normal"/>
    <w:link w:val="TitleChar"/>
    <w:qFormat/>
    <w:rsid w:val="0F563A2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0F563A2D"/>
    <w:rPr>
      <w:rFonts w:eastAsiaTheme="minorEastAsia"/>
      <w:color w:val="5A5A5A"/>
    </w:rPr>
  </w:style>
  <w:style w:type="paragraph" w:styleId="Quote">
    <w:name w:val="Quote"/>
    <w:basedOn w:val="Normal"/>
    <w:next w:val="Normal"/>
    <w:link w:val="QuoteChar"/>
    <w:qFormat/>
    <w:rsid w:val="0F563A2D"/>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0F563A2D"/>
    <w:pPr>
      <w:spacing w:before="360" w:after="360"/>
      <w:ind w:left="864" w:right="864"/>
      <w:jc w:val="center"/>
    </w:pPr>
    <w:rPr>
      <w:i/>
      <w:iCs/>
      <w:color w:val="4F81BD" w:themeColor="accent1"/>
    </w:rPr>
  </w:style>
  <w:style w:type="character" w:customStyle="1" w:styleId="Heading4Char">
    <w:name w:val="Heading 4 Char"/>
    <w:basedOn w:val="DefaultParagraphFont"/>
    <w:link w:val="Heading4"/>
    <w:rsid w:val="0F563A2D"/>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rsid w:val="0F563A2D"/>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rsid w:val="0F563A2D"/>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rsid w:val="0F563A2D"/>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rsid w:val="0F563A2D"/>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rsid w:val="0F563A2D"/>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rsid w:val="0F563A2D"/>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rsid w:val="0F563A2D"/>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rsid w:val="0F563A2D"/>
    <w:rPr>
      <w:i/>
      <w:iCs/>
      <w:noProof w:val="0"/>
      <w:color w:val="404040" w:themeColor="text1" w:themeTint="BF"/>
      <w:lang w:val="en-GB"/>
    </w:rPr>
  </w:style>
  <w:style w:type="character" w:customStyle="1" w:styleId="IntenseQuoteChar">
    <w:name w:val="Intense Quote Char"/>
    <w:basedOn w:val="DefaultParagraphFont"/>
    <w:link w:val="IntenseQuote"/>
    <w:rsid w:val="0F563A2D"/>
    <w:rPr>
      <w:i/>
      <w:iCs/>
      <w:noProof w:val="0"/>
      <w:color w:val="4F81BD" w:themeColor="accent1"/>
      <w:lang w:val="en-GB"/>
    </w:rPr>
  </w:style>
  <w:style w:type="paragraph" w:styleId="TOC4">
    <w:name w:val="toc 4"/>
    <w:basedOn w:val="Normal"/>
    <w:next w:val="Normal"/>
    <w:unhideWhenUsed/>
    <w:rsid w:val="0F563A2D"/>
    <w:pPr>
      <w:spacing w:after="100"/>
      <w:ind w:left="660"/>
    </w:pPr>
  </w:style>
  <w:style w:type="paragraph" w:styleId="TOC5">
    <w:name w:val="toc 5"/>
    <w:basedOn w:val="Normal"/>
    <w:next w:val="Normal"/>
    <w:unhideWhenUsed/>
    <w:rsid w:val="0F563A2D"/>
    <w:pPr>
      <w:spacing w:after="100"/>
      <w:ind w:left="880"/>
    </w:pPr>
  </w:style>
  <w:style w:type="paragraph" w:styleId="TOC6">
    <w:name w:val="toc 6"/>
    <w:basedOn w:val="Normal"/>
    <w:next w:val="Normal"/>
    <w:unhideWhenUsed/>
    <w:rsid w:val="0F563A2D"/>
    <w:pPr>
      <w:spacing w:after="100"/>
      <w:ind w:left="1100"/>
    </w:pPr>
  </w:style>
  <w:style w:type="paragraph" w:styleId="TOC7">
    <w:name w:val="toc 7"/>
    <w:basedOn w:val="Normal"/>
    <w:next w:val="Normal"/>
    <w:unhideWhenUsed/>
    <w:rsid w:val="0F563A2D"/>
    <w:pPr>
      <w:spacing w:after="100"/>
      <w:ind w:left="1320"/>
    </w:pPr>
  </w:style>
  <w:style w:type="paragraph" w:styleId="TOC8">
    <w:name w:val="toc 8"/>
    <w:basedOn w:val="Normal"/>
    <w:next w:val="Normal"/>
    <w:unhideWhenUsed/>
    <w:rsid w:val="0F563A2D"/>
    <w:pPr>
      <w:spacing w:after="100"/>
      <w:ind w:left="1540"/>
    </w:pPr>
  </w:style>
  <w:style w:type="paragraph" w:styleId="TOC9">
    <w:name w:val="toc 9"/>
    <w:basedOn w:val="Normal"/>
    <w:next w:val="Normal"/>
    <w:unhideWhenUsed/>
    <w:rsid w:val="0F563A2D"/>
    <w:pPr>
      <w:spacing w:after="100"/>
      <w:ind w:left="1760"/>
    </w:pPr>
  </w:style>
  <w:style w:type="paragraph" w:styleId="EndnoteText">
    <w:name w:val="endnote text"/>
    <w:basedOn w:val="Normal"/>
    <w:link w:val="EndnoteTextChar"/>
    <w:semiHidden/>
    <w:unhideWhenUsed/>
    <w:rsid w:val="0F563A2D"/>
    <w:pPr>
      <w:spacing w:after="0"/>
    </w:pPr>
    <w:rPr>
      <w:sz w:val="20"/>
      <w:szCs w:val="20"/>
    </w:rPr>
  </w:style>
  <w:style w:type="character" w:customStyle="1" w:styleId="EndnoteTextChar">
    <w:name w:val="Endnote Text Char"/>
    <w:basedOn w:val="DefaultParagraphFont"/>
    <w:link w:val="EndnoteText"/>
    <w:semiHidden/>
    <w:rsid w:val="0F563A2D"/>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412">
      <w:bodyDiv w:val="1"/>
      <w:marLeft w:val="0"/>
      <w:marRight w:val="0"/>
      <w:marTop w:val="0"/>
      <w:marBottom w:val="0"/>
      <w:divBdr>
        <w:top w:val="none" w:sz="0" w:space="0" w:color="auto"/>
        <w:left w:val="none" w:sz="0" w:space="0" w:color="auto"/>
        <w:bottom w:val="none" w:sz="0" w:space="0" w:color="auto"/>
        <w:right w:val="none" w:sz="0" w:space="0" w:color="auto"/>
      </w:divBdr>
    </w:div>
    <w:div w:id="187380192">
      <w:bodyDiv w:val="1"/>
      <w:marLeft w:val="0"/>
      <w:marRight w:val="0"/>
      <w:marTop w:val="0"/>
      <w:marBottom w:val="0"/>
      <w:divBdr>
        <w:top w:val="none" w:sz="0" w:space="0" w:color="auto"/>
        <w:left w:val="none" w:sz="0" w:space="0" w:color="auto"/>
        <w:bottom w:val="none" w:sz="0" w:space="0" w:color="auto"/>
        <w:right w:val="none" w:sz="0" w:space="0" w:color="auto"/>
      </w:divBdr>
    </w:div>
    <w:div w:id="261038373">
      <w:bodyDiv w:val="1"/>
      <w:marLeft w:val="0"/>
      <w:marRight w:val="0"/>
      <w:marTop w:val="0"/>
      <w:marBottom w:val="0"/>
      <w:divBdr>
        <w:top w:val="none" w:sz="0" w:space="0" w:color="auto"/>
        <w:left w:val="none" w:sz="0" w:space="0" w:color="auto"/>
        <w:bottom w:val="none" w:sz="0" w:space="0" w:color="auto"/>
        <w:right w:val="none" w:sz="0" w:space="0" w:color="auto"/>
      </w:divBdr>
    </w:div>
    <w:div w:id="319045029">
      <w:bodyDiv w:val="1"/>
      <w:marLeft w:val="0"/>
      <w:marRight w:val="0"/>
      <w:marTop w:val="0"/>
      <w:marBottom w:val="0"/>
      <w:divBdr>
        <w:top w:val="none" w:sz="0" w:space="0" w:color="auto"/>
        <w:left w:val="none" w:sz="0" w:space="0" w:color="auto"/>
        <w:bottom w:val="none" w:sz="0" w:space="0" w:color="auto"/>
        <w:right w:val="none" w:sz="0" w:space="0" w:color="auto"/>
      </w:divBdr>
    </w:div>
    <w:div w:id="552737567">
      <w:bodyDiv w:val="1"/>
      <w:marLeft w:val="0"/>
      <w:marRight w:val="0"/>
      <w:marTop w:val="0"/>
      <w:marBottom w:val="0"/>
      <w:divBdr>
        <w:top w:val="none" w:sz="0" w:space="0" w:color="auto"/>
        <w:left w:val="none" w:sz="0" w:space="0" w:color="auto"/>
        <w:bottom w:val="none" w:sz="0" w:space="0" w:color="auto"/>
        <w:right w:val="none" w:sz="0" w:space="0" w:color="auto"/>
      </w:divBdr>
    </w:div>
    <w:div w:id="638731671">
      <w:bodyDiv w:val="1"/>
      <w:marLeft w:val="0"/>
      <w:marRight w:val="0"/>
      <w:marTop w:val="0"/>
      <w:marBottom w:val="0"/>
      <w:divBdr>
        <w:top w:val="none" w:sz="0" w:space="0" w:color="auto"/>
        <w:left w:val="none" w:sz="0" w:space="0" w:color="auto"/>
        <w:bottom w:val="none" w:sz="0" w:space="0" w:color="auto"/>
        <w:right w:val="none" w:sz="0" w:space="0" w:color="auto"/>
      </w:divBdr>
    </w:div>
    <w:div w:id="644891668">
      <w:bodyDiv w:val="1"/>
      <w:marLeft w:val="0"/>
      <w:marRight w:val="0"/>
      <w:marTop w:val="0"/>
      <w:marBottom w:val="0"/>
      <w:divBdr>
        <w:top w:val="none" w:sz="0" w:space="0" w:color="auto"/>
        <w:left w:val="none" w:sz="0" w:space="0" w:color="auto"/>
        <w:bottom w:val="none" w:sz="0" w:space="0" w:color="auto"/>
        <w:right w:val="none" w:sz="0" w:space="0" w:color="auto"/>
      </w:divBdr>
    </w:div>
    <w:div w:id="690765890">
      <w:bodyDiv w:val="1"/>
      <w:marLeft w:val="0"/>
      <w:marRight w:val="0"/>
      <w:marTop w:val="0"/>
      <w:marBottom w:val="0"/>
      <w:divBdr>
        <w:top w:val="none" w:sz="0" w:space="0" w:color="auto"/>
        <w:left w:val="none" w:sz="0" w:space="0" w:color="auto"/>
        <w:bottom w:val="none" w:sz="0" w:space="0" w:color="auto"/>
        <w:right w:val="none" w:sz="0" w:space="0" w:color="auto"/>
      </w:divBdr>
    </w:div>
    <w:div w:id="1095133808">
      <w:bodyDiv w:val="1"/>
      <w:marLeft w:val="0"/>
      <w:marRight w:val="0"/>
      <w:marTop w:val="0"/>
      <w:marBottom w:val="0"/>
      <w:divBdr>
        <w:top w:val="none" w:sz="0" w:space="0" w:color="auto"/>
        <w:left w:val="none" w:sz="0" w:space="0" w:color="auto"/>
        <w:bottom w:val="none" w:sz="0" w:space="0" w:color="auto"/>
        <w:right w:val="none" w:sz="0" w:space="0" w:color="auto"/>
      </w:divBdr>
    </w:div>
    <w:div w:id="1180511825">
      <w:bodyDiv w:val="1"/>
      <w:marLeft w:val="0"/>
      <w:marRight w:val="0"/>
      <w:marTop w:val="0"/>
      <w:marBottom w:val="0"/>
      <w:divBdr>
        <w:top w:val="none" w:sz="0" w:space="0" w:color="auto"/>
        <w:left w:val="none" w:sz="0" w:space="0" w:color="auto"/>
        <w:bottom w:val="none" w:sz="0" w:space="0" w:color="auto"/>
        <w:right w:val="none" w:sz="0" w:space="0" w:color="auto"/>
      </w:divBdr>
    </w:div>
    <w:div w:id="1182548445">
      <w:bodyDiv w:val="1"/>
      <w:marLeft w:val="0"/>
      <w:marRight w:val="0"/>
      <w:marTop w:val="0"/>
      <w:marBottom w:val="0"/>
      <w:divBdr>
        <w:top w:val="none" w:sz="0" w:space="0" w:color="auto"/>
        <w:left w:val="none" w:sz="0" w:space="0" w:color="auto"/>
        <w:bottom w:val="none" w:sz="0" w:space="0" w:color="auto"/>
        <w:right w:val="none" w:sz="0" w:space="0" w:color="auto"/>
      </w:divBdr>
      <w:divsChild>
        <w:div w:id="1047608049">
          <w:marLeft w:val="0"/>
          <w:marRight w:val="0"/>
          <w:marTop w:val="0"/>
          <w:marBottom w:val="0"/>
          <w:divBdr>
            <w:top w:val="none" w:sz="0" w:space="0" w:color="auto"/>
            <w:left w:val="none" w:sz="0" w:space="0" w:color="auto"/>
            <w:bottom w:val="none" w:sz="0" w:space="0" w:color="auto"/>
            <w:right w:val="none" w:sz="0" w:space="0" w:color="auto"/>
          </w:divBdr>
        </w:div>
      </w:divsChild>
    </w:div>
    <w:div w:id="1463576424">
      <w:bodyDiv w:val="1"/>
      <w:marLeft w:val="0"/>
      <w:marRight w:val="0"/>
      <w:marTop w:val="0"/>
      <w:marBottom w:val="0"/>
      <w:divBdr>
        <w:top w:val="none" w:sz="0" w:space="0" w:color="auto"/>
        <w:left w:val="none" w:sz="0" w:space="0" w:color="auto"/>
        <w:bottom w:val="none" w:sz="0" w:space="0" w:color="auto"/>
        <w:right w:val="none" w:sz="0" w:space="0" w:color="auto"/>
      </w:divBdr>
    </w:div>
    <w:div w:id="1554929141">
      <w:bodyDiv w:val="1"/>
      <w:marLeft w:val="0"/>
      <w:marRight w:val="0"/>
      <w:marTop w:val="0"/>
      <w:marBottom w:val="0"/>
      <w:divBdr>
        <w:top w:val="none" w:sz="0" w:space="0" w:color="auto"/>
        <w:left w:val="none" w:sz="0" w:space="0" w:color="auto"/>
        <w:bottom w:val="none" w:sz="0" w:space="0" w:color="auto"/>
        <w:right w:val="none" w:sz="0" w:space="0" w:color="auto"/>
      </w:divBdr>
    </w:div>
    <w:div w:id="1885942460">
      <w:bodyDiv w:val="1"/>
      <w:marLeft w:val="0"/>
      <w:marRight w:val="0"/>
      <w:marTop w:val="0"/>
      <w:marBottom w:val="0"/>
      <w:divBdr>
        <w:top w:val="none" w:sz="0" w:space="0" w:color="auto"/>
        <w:left w:val="none" w:sz="0" w:space="0" w:color="auto"/>
        <w:bottom w:val="none" w:sz="0" w:space="0" w:color="auto"/>
        <w:right w:val="none" w:sz="0" w:space="0" w:color="auto"/>
      </w:divBdr>
    </w:div>
    <w:div w:id="1950620027">
      <w:bodyDiv w:val="1"/>
      <w:marLeft w:val="0"/>
      <w:marRight w:val="0"/>
      <w:marTop w:val="0"/>
      <w:marBottom w:val="0"/>
      <w:divBdr>
        <w:top w:val="none" w:sz="0" w:space="0" w:color="auto"/>
        <w:left w:val="none" w:sz="0" w:space="0" w:color="auto"/>
        <w:bottom w:val="none" w:sz="0" w:space="0" w:color="auto"/>
        <w:right w:val="none" w:sz="0" w:space="0" w:color="auto"/>
      </w:divBdr>
    </w:div>
    <w:div w:id="2006668236">
      <w:bodyDiv w:val="1"/>
      <w:marLeft w:val="0"/>
      <w:marRight w:val="0"/>
      <w:marTop w:val="0"/>
      <w:marBottom w:val="0"/>
      <w:divBdr>
        <w:top w:val="none" w:sz="0" w:space="0" w:color="auto"/>
        <w:left w:val="none" w:sz="0" w:space="0" w:color="auto"/>
        <w:bottom w:val="none" w:sz="0" w:space="0" w:color="auto"/>
        <w:right w:val="none" w:sz="0" w:space="0" w:color="auto"/>
      </w:divBdr>
      <w:divsChild>
        <w:div w:id="966281718">
          <w:marLeft w:val="0"/>
          <w:marRight w:val="0"/>
          <w:marTop w:val="0"/>
          <w:marBottom w:val="0"/>
          <w:divBdr>
            <w:top w:val="none" w:sz="0" w:space="0" w:color="auto"/>
            <w:left w:val="none" w:sz="0" w:space="0" w:color="auto"/>
            <w:bottom w:val="none" w:sz="0" w:space="0" w:color="auto"/>
            <w:right w:val="none" w:sz="0" w:space="0" w:color="auto"/>
          </w:divBdr>
        </w:div>
      </w:divsChild>
    </w:div>
    <w:div w:id="2060862671">
      <w:bodyDiv w:val="1"/>
      <w:marLeft w:val="0"/>
      <w:marRight w:val="0"/>
      <w:marTop w:val="0"/>
      <w:marBottom w:val="0"/>
      <w:divBdr>
        <w:top w:val="none" w:sz="0" w:space="0" w:color="auto"/>
        <w:left w:val="none" w:sz="0" w:space="0" w:color="auto"/>
        <w:bottom w:val="none" w:sz="0" w:space="0" w:color="auto"/>
        <w:right w:val="none" w:sz="0" w:space="0" w:color="auto"/>
      </w:divBdr>
    </w:div>
    <w:div w:id="2099472924">
      <w:bodyDiv w:val="1"/>
      <w:marLeft w:val="0"/>
      <w:marRight w:val="0"/>
      <w:marTop w:val="0"/>
      <w:marBottom w:val="0"/>
      <w:divBdr>
        <w:top w:val="none" w:sz="0" w:space="0" w:color="auto"/>
        <w:left w:val="none" w:sz="0" w:space="0" w:color="auto"/>
        <w:bottom w:val="none" w:sz="0" w:space="0" w:color="auto"/>
        <w:right w:val="none" w:sz="0" w:space="0" w:color="auto"/>
      </w:divBdr>
      <w:divsChild>
        <w:div w:id="1022047524">
          <w:marLeft w:val="0"/>
          <w:marRight w:val="0"/>
          <w:marTop w:val="0"/>
          <w:marBottom w:val="0"/>
          <w:divBdr>
            <w:top w:val="none" w:sz="0" w:space="0" w:color="auto"/>
            <w:left w:val="none" w:sz="0" w:space="0" w:color="auto"/>
            <w:bottom w:val="none" w:sz="0" w:space="0" w:color="auto"/>
            <w:right w:val="none" w:sz="0" w:space="0" w:color="auto"/>
          </w:divBdr>
        </w:div>
      </w:divsChild>
    </w:div>
    <w:div w:id="2108497874">
      <w:bodyDiv w:val="1"/>
      <w:marLeft w:val="0"/>
      <w:marRight w:val="0"/>
      <w:marTop w:val="0"/>
      <w:marBottom w:val="0"/>
      <w:divBdr>
        <w:top w:val="none" w:sz="0" w:space="0" w:color="auto"/>
        <w:left w:val="none" w:sz="0" w:space="0" w:color="auto"/>
        <w:bottom w:val="none" w:sz="0" w:space="0" w:color="auto"/>
        <w:right w:val="none" w:sz="0" w:space="0" w:color="auto"/>
      </w:divBdr>
      <w:divsChild>
        <w:div w:id="201171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ntsoe.eu/news/2022/09/06/entso-e-publishes-locational-marginal-pricing-data-items-as-part-of-bidding-zone-review-stud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tsoe.eu/news/2022/09/06/entso-e-publishes-locational-marginal-pricing-data-items-as-part-of-bidding-zone-review-stud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ntsoe.eu/news/2022/09/06/entso-e-publishes-locational-marginal-pricing-data-items-as-part-of-bidding-zone-review-study/" TargetMode="External"/><Relationship Id="rId25" Type="http://schemas.openxmlformats.org/officeDocument/2006/relationships/hyperlink" Target="https://www.entsoe.eu/news/2022/09/06/entso-e-publishes-locational-marginal-pricing-data-items-as-part-of-bidding-zone-review-study/" TargetMode="External"/><Relationship Id="rId2" Type="http://schemas.openxmlformats.org/officeDocument/2006/relationships/customXml" Target="../customXml/item2.xml"/><Relationship Id="rId16" Type="http://schemas.openxmlformats.org/officeDocument/2006/relationships/hyperlink" Target="https://www.entsoe.eu/news/2022/09/06/entso-e-publishes-locational-marginal-pricing-data-items-as-part-of-bidding-zone-review-study/" TargetMode="External"/><Relationship Id="rId20" Type="http://schemas.openxmlformats.org/officeDocument/2006/relationships/hyperlink" Target="https://www.fingrid.fi/globalassets/dokumentit/fi/sahkomarkkinat/kehityshankkeet/balancing-philosophy-updated-21111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publicdownloads.blob.core.windows.net/public-cdn-container/clean-documents/Publications/Market%20Committee%20publications/ENTSO-E%20LMP%20Report_publication.pdf" TargetMode="External"/><Relationship Id="rId24" Type="http://schemas.openxmlformats.org/officeDocument/2006/relationships/hyperlink" Target="https://www.entsoe.eu/news/2022/09/06/entso-e-publishes-locational-marginal-pricing-data-items-as-part-of-bidding-zone-review-study/" TargetMode="External"/><Relationship Id="rId5" Type="http://schemas.openxmlformats.org/officeDocument/2006/relationships/numbering" Target="numbering.xml"/><Relationship Id="rId15" Type="http://schemas.openxmlformats.org/officeDocument/2006/relationships/hyperlink" Target="https://www.entsoe.eu/news/2022/09/06/entso-e-publishes-locational-marginal-pricing-data-items-as-part-of-bidding-zone-review-study/" TargetMode="External"/><Relationship Id="rId23" Type="http://schemas.openxmlformats.org/officeDocument/2006/relationships/hyperlink" Target="https://www.entsoe.eu/news/2022/09/06/entso-e-publishes-locational-marginal-pricing-data-items-as-part-of-bidding-zone-review-study/" TargetMode="External"/><Relationship Id="rId28" Type="http://schemas.openxmlformats.org/officeDocument/2006/relationships/hyperlink" Target="https://eepublicdownloads.blob.core.windows.net/public-cdn-container/clean-documents/Publications/Market%20Committee%20publications/ENTSO-E%20LMP%20Report_publication.pdf" TargetMode="External"/><Relationship Id="rId10" Type="http://schemas.openxmlformats.org/officeDocument/2006/relationships/endnotes" Target="endnotes.xml"/><Relationship Id="rId19" Type="http://schemas.openxmlformats.org/officeDocument/2006/relationships/hyperlink" Target="https://www.entsoe.eu/news/2022/09/06/entso-e-publishes-locational-marginal-pricing-data-items-as-part-of-bidding-zone-review-stud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soe.eu/news/2022/09/06/entso-e-publishes-locational-marginal-pricing-data-items-as-part-of-bidding-zone-review-study/." TargetMode="External"/><Relationship Id="rId22" Type="http://schemas.openxmlformats.org/officeDocument/2006/relationships/hyperlink" Target="https://www.entsoe.eu/news/2022/09/06/entso-e-publishes-locational-marginal-pricing-data-items-as-part-of-bidding-zone-review-stud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4FF5BD82EF2C0E4CB4D76D31C96FFF8B" ma:contentTypeVersion="5" ma:contentTypeDescription="" ma:contentTypeScope="" ma:versionID="2c188336a4f92b6c210e1bec6b54bf60">
  <xsd:schema xmlns:xsd="http://www.w3.org/2001/XMLSchema" xmlns:xs="http://www.w3.org/2001/XMLSchema" xmlns:p="http://schemas.microsoft.com/office/2006/metadata/properties" xmlns:ns2="468d517b-1bce-4eac-b032-1e8ed9aee539" targetNamespace="http://schemas.microsoft.com/office/2006/metadata/properties" ma:root="true" ma:fieldsID="27d7e9b91aaddf89e8791357fb74685f"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 ma:showField="Title" ma:web="468d517b-1bce-4eac-b032-1e8ed9aee539">
      <xsd:simpleType>
        <xsd:restriction base="dms:Lookup"/>
      </xsd:simpleType>
    </xsd:element>
    <xsd:element name="Meeting" ma:index="23" nillable="true" ma:displayName="Meeting" ma:internalName="Meeting">
      <xsd:simpleType>
        <xsd:restriction base="dms:Text">
          <xsd:maxLength value="255"/>
        </xsd:restriction>
      </xsd:simpleType>
    </xsd:element>
    <xsd:element name="Approval_x0020_Level" ma:index="24" nillable="true" ma:displayName="Approval Level" ma:list="{ff966062-7577-44b3-a4cd-adfa46957c67}" ma:internalName="Approval_x0020_Level"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 xsi:nil="true"/>
    <a11881793d4943049370f281afa2b378 xmlns="468d517b-1bce-4eac-b032-1e8ed9aee539">
      <Terms xmlns="http://schemas.microsoft.com/office/infopath/2007/PartnerControls"/>
    </a11881793d4943049370f281afa2b378>
    <Work_x0020_Area xmlns="468d517b-1bce-4eac-b032-1e8ed9aee539" xsi:nil="true"/>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o9b5552cd29f405b8612d2920cb859c4>
    <Open_x0020_to_x0020_EC xmlns="468d517b-1bce-4eac-b032-1e8ed9aee539">false</Open_x0020_to_x0020_EC>
    <Document_x0020_Type xmlns="468d517b-1bce-4eac-b032-1e8ed9aee539" xsi:nil="true"/>
    <Approval_x0020_Level xmlns="468d517b-1bce-4eac-b032-1e8ed9aee539" xsi:nil="true"/>
    <TaxCatchAll xmlns="468d517b-1bce-4eac-b032-1e8ed9aee539"/>
    <Open_x0020_to_x0020_ACER xmlns="468d517b-1bce-4eac-b032-1e8ed9aee539">false</Open_x0020_to_x0020_ACER>
    <Meeting xmlns="468d517b-1bce-4eac-b032-1e8ed9aee539" xsi:nil="true"/>
  </documentManagement>
</p:properties>
</file>

<file path=customXml/itemProps1.xml><?xml version="1.0" encoding="utf-8"?>
<ds:datastoreItem xmlns:ds="http://schemas.openxmlformats.org/officeDocument/2006/customXml" ds:itemID="{54237748-3982-400F-B961-78C1D55FD796}">
  <ds:schemaRefs>
    <ds:schemaRef ds:uri="http://schemas.openxmlformats.org/officeDocument/2006/bibliography"/>
  </ds:schemaRefs>
</ds:datastoreItem>
</file>

<file path=customXml/itemProps2.xml><?xml version="1.0" encoding="utf-8"?>
<ds:datastoreItem xmlns:ds="http://schemas.openxmlformats.org/officeDocument/2006/customXml" ds:itemID="{89CDDA57-9B6C-47B7-94F8-E4B817A0A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AF20D-42DF-45E0-BB29-D655FC4002C4}">
  <ds:schemaRefs>
    <ds:schemaRef ds:uri="http://schemas.microsoft.com/sharepoint/v3/contenttype/forms"/>
  </ds:schemaRefs>
</ds:datastoreItem>
</file>

<file path=customXml/itemProps4.xml><?xml version="1.0" encoding="utf-8"?>
<ds:datastoreItem xmlns:ds="http://schemas.openxmlformats.org/officeDocument/2006/customXml" ds:itemID="{C96F70BC-C3D3-4B55-ADB9-BD6B7D25D380}">
  <ds:schemaRefs>
    <ds:schemaRef ds:uri="http://schemas.microsoft.com/office/2006/metadata/properties"/>
    <ds:schemaRef ds:uri="http://schemas.microsoft.com/office/infopath/2007/PartnerControls"/>
    <ds:schemaRef ds:uri="468d517b-1bce-4eac-b032-1e8ed9aee539"/>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4071</Words>
  <Characters>23208</Characters>
  <Application>Microsoft Office Word</Application>
  <DocSecurity>0</DocSecurity>
  <Lines>193</Lines>
  <Paragraphs>54</Paragraphs>
  <ScaleCrop>false</ScaleCrop>
  <Company>TenneT TSO</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Zappa, William</dc:creator>
  <cp:keywords/>
  <dc:description/>
  <cp:lastModifiedBy>Seppälä Eveliina</cp:lastModifiedBy>
  <cp:revision>16</cp:revision>
  <cp:lastPrinted>2022-11-30T13:47:00Z</cp:lastPrinted>
  <dcterms:created xsi:type="dcterms:W3CDTF">2022-11-17T13:13:00Z</dcterms:created>
  <dcterms:modified xsi:type="dcterms:W3CDTF">2022-12-01T09:43:00Z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0x010100C6222E8C7549E44ABFB53771BE29FC4701004FF5BD82EF2C0E4CB4D76D31C96FFF8B</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
  </property>
  <property fmtid="{D5CDD505-2E9C-101B-9397-08002B2CF9AE}" pid="6" name="Data Origin">
    <vt:lpwstr/>
  </property>
</Properties>
</file>