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nl-NL" w:eastAsia="nl-NL"/>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32F32C1C" w:rsidR="007070E0" w:rsidRPr="0094165F" w:rsidRDefault="00A42A7B"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A42A7B"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0103F5D4" w:rsidR="007070E0" w:rsidRPr="0094165F" w:rsidRDefault="00A42A7B"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6A5EE98F" w:rsidR="007070E0" w:rsidRPr="0094165F" w:rsidRDefault="00A42A7B"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A42A7B"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2D848CB" w:rsidR="001656A9" w:rsidRPr="001656A9" w:rsidRDefault="00A42A7B" w:rsidP="001656A9">
      <w:pPr>
        <w:pStyle w:val="Default"/>
        <w:jc w:val="both"/>
        <w:rPr>
          <w:rFonts w:ascii="Arial" w:hAnsi="Arial" w:cs="Arial"/>
          <w:i/>
          <w:color w:val="auto"/>
          <w:sz w:val="22"/>
          <w:szCs w:val="22"/>
        </w:rPr>
      </w:pPr>
      <w:sdt>
        <w:sdtPr>
          <w:rPr>
            <w:rFonts w:ascii="Arial" w:hAnsi="Arial" w:cs="Arial"/>
            <w:i/>
            <w:color w:val="auto"/>
            <w:sz w:val="22"/>
            <w:szCs w:val="22"/>
          </w:rPr>
          <w:id w:val="58066555"/>
          <w:date w:fullDate="2020-11-17T00:00:00Z">
            <w:dateFormat w:val="dd/MM/yyyy"/>
            <w:lid w:val="es-ES"/>
            <w:storeMappedDataAs w:val="dateTime"/>
            <w:calendar w:val="gregorian"/>
          </w:date>
        </w:sdtPr>
        <w:sdtEndPr/>
        <w:sdtContent>
          <w:r w:rsidR="00C84430">
            <w:rPr>
              <w:rFonts w:ascii="Arial" w:hAnsi="Arial" w:cs="Arial"/>
              <w:i/>
              <w:color w:val="auto"/>
              <w:sz w:val="22"/>
              <w:szCs w:val="22"/>
              <w:lang w:val="es-ES"/>
            </w:rPr>
            <w:t>17/11/2020</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3985CA03" w:rsidR="001656A9" w:rsidRPr="0094165F" w:rsidRDefault="00A42A7B"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97349D2" w:rsidR="001656A9" w:rsidRPr="0094165F" w:rsidRDefault="00A42A7B"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A42A7B"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3FB8A80" w:rsidR="00B00494" w:rsidRPr="001656A9" w:rsidRDefault="00A42A7B" w:rsidP="00B00494">
      <w:pPr>
        <w:pStyle w:val="Default"/>
        <w:jc w:val="both"/>
        <w:rPr>
          <w:rFonts w:ascii="Arial" w:hAnsi="Arial" w:cs="Arial"/>
          <w:i/>
          <w:color w:val="auto"/>
          <w:sz w:val="22"/>
          <w:szCs w:val="22"/>
        </w:rPr>
      </w:pPr>
      <w:sdt>
        <w:sdtPr>
          <w:rPr>
            <w:rFonts w:ascii="Arial" w:hAnsi="Arial" w:cs="Arial"/>
            <w:i/>
            <w:color w:val="auto"/>
            <w:sz w:val="22"/>
            <w:szCs w:val="22"/>
          </w:rPr>
          <w:id w:val="1268042418"/>
          <w:date w:fullDate="2020-11-17T00:00:00Z">
            <w:dateFormat w:val="dd/MM/yyyy"/>
            <w:lid w:val="es-ES"/>
            <w:storeMappedDataAs w:val="dateTime"/>
            <w:calendar w:val="gregorian"/>
          </w:date>
        </w:sdtPr>
        <w:sdtEndPr/>
        <w:sdtContent>
          <w:r w:rsidR="00C84430">
            <w:rPr>
              <w:rFonts w:ascii="Arial" w:hAnsi="Arial" w:cs="Arial"/>
              <w:i/>
              <w:color w:val="auto"/>
              <w:sz w:val="22"/>
              <w:szCs w:val="22"/>
              <w:lang w:val="es-ES"/>
            </w:rPr>
            <w:t>17/11/2020</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0FC54343" w:rsidR="001656A9" w:rsidRPr="0094165F" w:rsidRDefault="00A42A7B"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3DDAB4C" w:rsidR="001656A9" w:rsidRPr="0094165F" w:rsidRDefault="00A42A7B"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A42A7B"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777C5F8A" w:rsidR="00B00494" w:rsidRPr="001656A9" w:rsidRDefault="00A42A7B" w:rsidP="00B00494">
      <w:pPr>
        <w:pStyle w:val="Default"/>
        <w:jc w:val="both"/>
        <w:rPr>
          <w:rFonts w:ascii="Arial" w:hAnsi="Arial" w:cs="Arial"/>
          <w:i/>
          <w:color w:val="auto"/>
          <w:sz w:val="22"/>
          <w:szCs w:val="22"/>
        </w:rPr>
      </w:pPr>
      <w:sdt>
        <w:sdtPr>
          <w:rPr>
            <w:rFonts w:ascii="Arial" w:hAnsi="Arial" w:cs="Arial"/>
            <w:i/>
            <w:color w:val="auto"/>
            <w:sz w:val="22"/>
            <w:szCs w:val="22"/>
          </w:rPr>
          <w:id w:val="-658305275"/>
          <w:date w:fullDate="2020-11-17T00:00:00Z">
            <w:dateFormat w:val="dd/MM/yyyy"/>
            <w:lid w:val="es-ES"/>
            <w:storeMappedDataAs w:val="dateTime"/>
            <w:calendar w:val="gregorian"/>
          </w:date>
        </w:sdtPr>
        <w:sdtEndPr/>
        <w:sdtContent>
          <w:r w:rsidR="00C84430">
            <w:rPr>
              <w:rFonts w:ascii="Arial" w:hAnsi="Arial" w:cs="Arial"/>
              <w:i/>
              <w:color w:val="auto"/>
              <w:sz w:val="22"/>
              <w:szCs w:val="22"/>
              <w:lang w:val="es-ES"/>
            </w:rPr>
            <w:t>17/11/2020</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79C863DA" w:rsidR="001656A9" w:rsidRDefault="00A42A7B"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A42A7B"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nl-NL" w:eastAsia="nl-NL"/>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2771254C" w:rsidR="00AB693B" w:rsidRDefault="00A42A7B"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A42A7B"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3172476D" w:rsidR="00DC0106" w:rsidRDefault="00A42A7B"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A42A7B"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71FF0191" w:rsidR="00DC0106" w:rsidRDefault="00A42A7B"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A42A7B"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A42A7B"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20183E9C" w:rsidR="0053275E" w:rsidRDefault="00A42A7B"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A42A7B"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A42A7B"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A42A7B"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292A2D76" w:rsidR="00791883" w:rsidRDefault="00A42A7B"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31F39BED" w:rsidR="00791883" w:rsidRDefault="00A42A7B"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A42A7B"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61555892" w:rsidR="00791883" w:rsidRDefault="00A42A7B"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A42A7B"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A42A7B"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38E2DF8D" w:rsidR="007C6C77" w:rsidRDefault="00A42A7B"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A42A7B"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0AEC234F" w:rsidR="00760DD7" w:rsidRDefault="00A42A7B"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A42A7B"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A42A7B"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nl-NL" w:eastAsia="nl-NL"/>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A42A7B"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1CB578A9" w:rsidR="00FF0D07" w:rsidRDefault="00A42A7B"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A42A7B"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A42A7B"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A42A7B"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A42A7B"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2CBB773B" w:rsidR="00B00494" w:rsidRDefault="00A42A7B"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C84430">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A42A7B"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A42A7B"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A42A7B"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15B47C53" w14:textId="6591D74F" w:rsidR="00AB396D" w:rsidRPr="0094165F" w:rsidRDefault="00AB396D" w:rsidP="005B372E">
      <w:pPr>
        <w:pStyle w:val="Default"/>
        <w:jc w:val="both"/>
        <w:rPr>
          <w:rFonts w:ascii="Arial" w:hAnsi="Arial" w:cs="Arial"/>
          <w:sz w:val="22"/>
          <w:szCs w:val="22"/>
        </w:rPr>
      </w:pPr>
      <w:bookmarkStart w:id="0" w:name="_GoBack"/>
      <w:bookmarkEnd w:id="0"/>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6BC7" w14:textId="77777777" w:rsidR="00A42A7B" w:rsidRDefault="00A42A7B" w:rsidP="0053372C">
      <w:pPr>
        <w:spacing w:after="0" w:line="240" w:lineRule="auto"/>
      </w:pPr>
      <w:r>
        <w:separator/>
      </w:r>
    </w:p>
    <w:p w14:paraId="7D3F8FC6" w14:textId="77777777" w:rsidR="00A42A7B" w:rsidRDefault="00A42A7B"/>
  </w:endnote>
  <w:endnote w:type="continuationSeparator" w:id="0">
    <w:p w14:paraId="43DC89CA" w14:textId="77777777" w:rsidR="00A42A7B" w:rsidRDefault="00A42A7B" w:rsidP="0053372C">
      <w:pPr>
        <w:spacing w:after="0" w:line="240" w:lineRule="auto"/>
      </w:pPr>
      <w:r>
        <w:continuationSeparator/>
      </w:r>
    </w:p>
    <w:p w14:paraId="7E9EEFD5" w14:textId="77777777" w:rsidR="00A42A7B" w:rsidRDefault="00A42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C84430">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EF30" w14:textId="77777777" w:rsidR="00A42A7B" w:rsidRDefault="00A42A7B" w:rsidP="0053372C">
      <w:pPr>
        <w:spacing w:after="0" w:line="240" w:lineRule="auto"/>
      </w:pPr>
      <w:r>
        <w:separator/>
      </w:r>
    </w:p>
    <w:p w14:paraId="0782EF10" w14:textId="77777777" w:rsidR="00A42A7B" w:rsidRDefault="00A42A7B"/>
  </w:footnote>
  <w:footnote w:type="continuationSeparator" w:id="0">
    <w:p w14:paraId="11452522" w14:textId="77777777" w:rsidR="00A42A7B" w:rsidRDefault="00A42A7B" w:rsidP="0053372C">
      <w:pPr>
        <w:spacing w:after="0" w:line="240" w:lineRule="auto"/>
      </w:pPr>
      <w:r>
        <w:continuationSeparator/>
      </w:r>
    </w:p>
    <w:p w14:paraId="24AE3869" w14:textId="77777777" w:rsidR="00A42A7B" w:rsidRDefault="00A42A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43C3"/>
    <w:rsid w:val="001D40F7"/>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42A7B"/>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A131B"/>
    <w:rsid w:val="00BC5BD5"/>
    <w:rsid w:val="00BD311E"/>
    <w:rsid w:val="00BD6505"/>
    <w:rsid w:val="00BF0205"/>
    <w:rsid w:val="00C008B1"/>
    <w:rsid w:val="00C352DB"/>
    <w:rsid w:val="00C429DD"/>
    <w:rsid w:val="00C43553"/>
    <w:rsid w:val="00C4734C"/>
    <w:rsid w:val="00C47DB4"/>
    <w:rsid w:val="00C605DD"/>
    <w:rsid w:val="00C60669"/>
    <w:rsid w:val="00C80744"/>
    <w:rsid w:val="00C84430"/>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C8A02AAE-0F56-4B08-B515-F8A1DD72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2614</Value>
      <Value>4314</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2bb17494-6fca-47a6-999f-758838d3eb24</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2.xml><?xml version="1.0" encoding="utf-8"?>
<ds:datastoreItem xmlns:ds="http://schemas.openxmlformats.org/officeDocument/2006/customXml" ds:itemID="{4FCD78B7-24AB-4803-8E4C-3DB4D823377B}"/>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41B99FDF-BB76-4116-BC8F-E72E9EF2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4820</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TenneT BV</dc:title>
  <dc:creator>Lorenzo Cabrera, Eduardo</dc:creator>
  <cp:lastModifiedBy>Inés Encabo Cáceres</cp:lastModifiedBy>
  <cp:revision>4</cp:revision>
  <cp:lastPrinted>2020-10-30T07:01:00Z</cp:lastPrinted>
  <dcterms:created xsi:type="dcterms:W3CDTF">2020-11-17T14:03:00Z</dcterms:created>
  <dcterms:modified xsi:type="dcterms:W3CDTF">2021-01-28T11:10:00Z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2614;#NL|2bb17494-6fca-47a6-999f-758838d3eb24</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y fmtid="{D5CDD505-2E9C-101B-9397-08002B2CF9AE}" pid="10" name="_docset_NoMedatataSyncRequired">
    <vt:lpwstr>False</vt:lpwstr>
  </property>
</Properties>
</file>