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1135"/>
        <w:gridCol w:w="4394"/>
        <w:gridCol w:w="4301"/>
        <w:gridCol w:w="1959"/>
        <w:gridCol w:w="3238"/>
      </w:tblGrid>
      <w:tr w:rsidR="00D739C9" w:rsidRPr="00EC7B12" w:rsidTr="00EC7B12">
        <w:tc>
          <w:tcPr>
            <w:tcW w:w="1135" w:type="dxa"/>
          </w:tcPr>
          <w:p w:rsidR="00D739C9" w:rsidRPr="00EC7B12" w:rsidRDefault="00D739C9" w:rsidP="00621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B12">
              <w:rPr>
                <w:rFonts w:ascii="Arial" w:hAnsi="Arial" w:cs="Arial"/>
                <w:b/>
                <w:sz w:val="24"/>
                <w:szCs w:val="24"/>
              </w:rPr>
              <w:t>Current No.</w:t>
            </w:r>
          </w:p>
        </w:tc>
        <w:tc>
          <w:tcPr>
            <w:tcW w:w="4394" w:type="dxa"/>
          </w:tcPr>
          <w:p w:rsidR="00D739C9" w:rsidRPr="00EC7B12" w:rsidRDefault="005266B7" w:rsidP="00621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B12">
              <w:rPr>
                <w:rFonts w:ascii="Arial" w:hAnsi="Arial" w:cs="Arial"/>
                <w:b/>
                <w:sz w:val="24"/>
                <w:szCs w:val="24"/>
              </w:rPr>
              <w:t>The regulation needed to be prepared</w:t>
            </w:r>
          </w:p>
        </w:tc>
        <w:tc>
          <w:tcPr>
            <w:tcW w:w="4301" w:type="dxa"/>
          </w:tcPr>
          <w:p w:rsidR="00D739C9" w:rsidRPr="00EC7B12" w:rsidRDefault="00D739C9" w:rsidP="00621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B12">
              <w:rPr>
                <w:rFonts w:ascii="Arial" w:hAnsi="Arial" w:cs="Arial"/>
                <w:b/>
                <w:sz w:val="24"/>
                <w:szCs w:val="24"/>
              </w:rPr>
              <w:t>Short description</w:t>
            </w:r>
          </w:p>
        </w:tc>
        <w:tc>
          <w:tcPr>
            <w:tcW w:w="1959" w:type="dxa"/>
          </w:tcPr>
          <w:p w:rsidR="00D739C9" w:rsidRPr="00EC7B12" w:rsidRDefault="00D739C9" w:rsidP="00D13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B12">
              <w:rPr>
                <w:rFonts w:ascii="Arial" w:hAnsi="Arial" w:cs="Arial"/>
                <w:b/>
                <w:sz w:val="24"/>
                <w:szCs w:val="24"/>
              </w:rPr>
              <w:t xml:space="preserve">Articol Number from Regulation </w:t>
            </w:r>
          </w:p>
        </w:tc>
        <w:tc>
          <w:tcPr>
            <w:tcW w:w="3238" w:type="dxa"/>
          </w:tcPr>
          <w:p w:rsidR="00D739C9" w:rsidRPr="00EC7B12" w:rsidRDefault="00D739C9" w:rsidP="00D13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B12">
              <w:rPr>
                <w:rFonts w:ascii="Arial" w:hAnsi="Arial" w:cs="Arial"/>
                <w:b/>
                <w:sz w:val="24"/>
                <w:szCs w:val="24"/>
              </w:rPr>
              <w:t xml:space="preserve">Estimated date </w:t>
            </w:r>
          </w:p>
        </w:tc>
      </w:tr>
      <w:tr w:rsidR="00B255E8" w:rsidRPr="00EC7B12" w:rsidTr="00EC7B12">
        <w:tc>
          <w:tcPr>
            <w:tcW w:w="1135" w:type="dxa"/>
          </w:tcPr>
          <w:p w:rsidR="00B255E8" w:rsidRPr="00EC7B12" w:rsidRDefault="00B255E8" w:rsidP="00D134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55E8" w:rsidRPr="00EC7B12" w:rsidRDefault="00B255E8" w:rsidP="00F0073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Technical norm regarding general and specific requirements for grid connection of:  transmission-connected demand facilities; transmission-connected distribution facilities; distribution systems;  demand units used to p</w:t>
            </w:r>
            <w:r w:rsidR="0037061C">
              <w:rPr>
                <w:rFonts w:ascii="Arial" w:hAnsi="Arial" w:cs="Arial"/>
                <w:sz w:val="24"/>
                <w:szCs w:val="24"/>
              </w:rPr>
              <w:t>rovide demand response services</w:t>
            </w:r>
            <w:r w:rsidRPr="00EC7B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1" w:type="dxa"/>
          </w:tcPr>
          <w:p w:rsidR="00B255E8" w:rsidRPr="00EC7B12" w:rsidRDefault="00F0073D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>For the transmission-connected demand facilities,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 transmission-connected distribution facilities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for the 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distribution systems there are requirements regarding the frequency, the voltage, the short-circuit currents, the reactive power, the protection systems, the control systems,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exchange information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relevant TSO, the quality of energy in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110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connection point,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>mathematical simulation models.</w:t>
            </w:r>
          </w:p>
          <w:p w:rsidR="00B255E8" w:rsidRPr="00EC7B12" w:rsidRDefault="00F0073D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10DFC">
              <w:rPr>
                <w:rFonts w:ascii="Arial" w:hAnsi="Arial" w:cs="Arial"/>
                <w:sz w:val="24"/>
                <w:szCs w:val="24"/>
              </w:rPr>
              <w:t>The t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echnical norm shall include specific </w:t>
            </w:r>
            <w:r w:rsidR="00790707" w:rsidRPr="00EC7B12">
              <w:rPr>
                <w:rFonts w:ascii="Arial" w:hAnsi="Arial" w:cs="Arial"/>
                <w:sz w:val="24"/>
                <w:szCs w:val="24"/>
              </w:rPr>
              <w:t>requirements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 for the demand units with active power control,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demand response reactive power control and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>demand response tr</w:t>
            </w:r>
            <w:bookmarkStart w:id="0" w:name="_GoBack"/>
            <w:bookmarkEnd w:id="0"/>
            <w:r w:rsidR="00B255E8" w:rsidRPr="00EC7B12">
              <w:rPr>
                <w:rFonts w:ascii="Arial" w:hAnsi="Arial" w:cs="Arial"/>
                <w:sz w:val="24"/>
                <w:szCs w:val="24"/>
              </w:rPr>
              <w:t>ansmission constraint management.</w:t>
            </w:r>
          </w:p>
          <w:p w:rsidR="00B255E8" w:rsidRPr="00EC7B12" w:rsidRDefault="00F0073D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Also, the technical norm shall include specific </w:t>
            </w:r>
            <w:r w:rsidR="00790707" w:rsidRPr="00EC7B12">
              <w:rPr>
                <w:rFonts w:ascii="Arial" w:hAnsi="Arial" w:cs="Arial"/>
                <w:sz w:val="24"/>
                <w:szCs w:val="24"/>
              </w:rPr>
              <w:t>requirements</w:t>
            </w:r>
            <w:r w:rsidR="00B255E8" w:rsidRPr="00EC7B12">
              <w:rPr>
                <w:rFonts w:ascii="Arial" w:hAnsi="Arial" w:cs="Arial"/>
                <w:sz w:val="24"/>
                <w:szCs w:val="24"/>
              </w:rPr>
              <w:t xml:space="preserve">  for the demand units with demand response system frequency control and for demand units with demand response very fast active power control.</w:t>
            </w:r>
          </w:p>
        </w:tc>
        <w:tc>
          <w:tcPr>
            <w:tcW w:w="1959" w:type="dxa"/>
          </w:tcPr>
          <w:p w:rsidR="00B255E8" w:rsidRPr="00EC7B12" w:rsidRDefault="00B255E8">
            <w:pPr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Art.12-21, 27-30</w:t>
            </w:r>
          </w:p>
        </w:tc>
        <w:tc>
          <w:tcPr>
            <w:tcW w:w="3238" w:type="dxa"/>
          </w:tcPr>
          <w:p w:rsidR="00B255E8" w:rsidRPr="00EC7B12" w:rsidRDefault="00B255E8" w:rsidP="004E2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Q1  2017 –Q4  2017</w:t>
            </w:r>
          </w:p>
          <w:p w:rsidR="003E7A19" w:rsidRPr="00EC7B12" w:rsidRDefault="003E7A19" w:rsidP="004E2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5E8" w:rsidRPr="00EC7B12" w:rsidRDefault="00B255E8" w:rsidP="004E2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 xml:space="preserve">The document </w:t>
            </w:r>
            <w:r w:rsidR="005266B7" w:rsidRPr="00EC7B12">
              <w:rPr>
                <w:rFonts w:ascii="Arial" w:hAnsi="Arial" w:cs="Arial"/>
                <w:sz w:val="24"/>
                <w:szCs w:val="24"/>
              </w:rPr>
              <w:t>is prepared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5266B7"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TSO </w:t>
            </w:r>
            <w:r w:rsidR="003E7A19" w:rsidRPr="00EC7B12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C6E6E" w:rsidRPr="00EC7B12">
              <w:rPr>
                <w:rFonts w:ascii="Arial" w:hAnsi="Arial" w:cs="Arial"/>
                <w:sz w:val="24"/>
                <w:szCs w:val="24"/>
              </w:rPr>
              <w:t>cooperation</w:t>
            </w:r>
            <w:r w:rsidR="003E7A19" w:rsidRPr="00EC7B12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5266B7"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adjacent </w:t>
            </w:r>
            <w:r w:rsidR="003E7A19"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distribution system operators</w:t>
            </w:r>
            <w:r w:rsidR="003E7A19" w:rsidRPr="00EC7B12">
              <w:rPr>
                <w:rFonts w:ascii="Arial" w:hAnsi="Arial" w:cs="Arial"/>
                <w:sz w:val="24"/>
                <w:szCs w:val="24"/>
              </w:rPr>
              <w:t>, public</w:t>
            </w:r>
            <w:r w:rsidR="0051146A" w:rsidRPr="00EC7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consultation </w:t>
            </w:r>
            <w:r w:rsidR="003E7A19" w:rsidRPr="00EC7B12">
              <w:rPr>
                <w:rFonts w:ascii="Arial" w:hAnsi="Arial" w:cs="Arial"/>
                <w:sz w:val="24"/>
                <w:szCs w:val="24"/>
              </w:rPr>
              <w:t>and approval</w:t>
            </w:r>
          </w:p>
          <w:p w:rsidR="005266B7" w:rsidRPr="00EC7B12" w:rsidRDefault="005266B7" w:rsidP="004E2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66B7" w:rsidRPr="00EC7B12" w:rsidRDefault="005266B7" w:rsidP="004E2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C3" w:rsidRPr="00EC7B12" w:rsidTr="00EC7B12">
        <w:tc>
          <w:tcPr>
            <w:tcW w:w="1135" w:type="dxa"/>
          </w:tcPr>
          <w:p w:rsidR="000D47C3" w:rsidRPr="00EC7B12" w:rsidRDefault="000D47C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4394" w:type="dxa"/>
          </w:tcPr>
          <w:p w:rsidR="000D47C3" w:rsidRPr="00EC7B12" w:rsidRDefault="000D47C3" w:rsidP="00D37C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1F8C">
              <w:rPr>
                <w:rFonts w:ascii="Arial" w:hAnsi="Arial" w:cs="Arial"/>
                <w:sz w:val="24"/>
                <w:szCs w:val="24"/>
              </w:rPr>
              <w:t>operational notification procedure for grid connection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 of: a new transmission-connected demand facilit</w:t>
            </w:r>
            <w:r w:rsidR="00D37C82">
              <w:rPr>
                <w:rFonts w:ascii="Arial" w:hAnsi="Arial" w:cs="Arial"/>
                <w:sz w:val="24"/>
                <w:szCs w:val="24"/>
              </w:rPr>
              <w:t>y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; a new transmission-connected distribution facility; a new distribution system;  demand units used to provide demand response services </w:t>
            </w:r>
            <w:r w:rsidR="00D37C82">
              <w:rPr>
                <w:rFonts w:ascii="Arial" w:hAnsi="Arial" w:cs="Arial"/>
                <w:sz w:val="24"/>
                <w:szCs w:val="24"/>
              </w:rPr>
              <w:t xml:space="preserve">to sytems operators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2B1F8C">
              <w:rPr>
                <w:rFonts w:ascii="Arial" w:hAnsi="Arial" w:cs="Arial"/>
                <w:sz w:val="24"/>
                <w:szCs w:val="24"/>
              </w:rPr>
              <w:t>verif</w:t>
            </w:r>
            <w:r w:rsidR="00D37C82" w:rsidRPr="002B1F8C">
              <w:rPr>
                <w:rFonts w:ascii="Arial" w:hAnsi="Arial" w:cs="Arial"/>
                <w:sz w:val="24"/>
                <w:szCs w:val="24"/>
              </w:rPr>
              <w:t>ication</w:t>
            </w:r>
            <w:r w:rsidRPr="002B1F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EAD" w:rsidRPr="002B1F8C">
              <w:rPr>
                <w:rFonts w:ascii="Arial" w:hAnsi="Arial" w:cs="Arial"/>
                <w:sz w:val="24"/>
                <w:szCs w:val="24"/>
              </w:rPr>
              <w:t>compliance</w:t>
            </w:r>
            <w:r w:rsidR="00D37C82" w:rsidRPr="002B1F8C">
              <w:rPr>
                <w:rFonts w:ascii="Arial" w:hAnsi="Arial" w:cs="Arial"/>
                <w:sz w:val="24"/>
                <w:szCs w:val="24"/>
              </w:rPr>
              <w:t xml:space="preserve"> procedure</w:t>
            </w:r>
            <w:r w:rsidRPr="002B1F8C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ith the requirements regarding public interest </w:t>
            </w:r>
            <w:r w:rsidRPr="00EC7B12">
              <w:rPr>
                <w:rFonts w:ascii="Arial" w:hAnsi="Arial" w:cs="Arial"/>
                <w:sz w:val="24"/>
                <w:szCs w:val="24"/>
              </w:rPr>
              <w:lastRenderedPageBreak/>
              <w:t>grid connection.</w:t>
            </w:r>
          </w:p>
        </w:tc>
        <w:tc>
          <w:tcPr>
            <w:tcW w:w="4301" w:type="dxa"/>
          </w:tcPr>
          <w:p w:rsidR="000D47C3" w:rsidRPr="00EC7B12" w:rsidRDefault="000D47C3" w:rsidP="00F0073D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bCs/>
                <w:sz w:val="24"/>
                <w:szCs w:val="24"/>
              </w:rPr>
              <w:lastRenderedPageBreak/>
              <w:t>The procedure contains in two parts</w:t>
            </w:r>
            <w:r w:rsidRPr="00EC7B1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D47C3" w:rsidRPr="000A5E2C" w:rsidRDefault="000A5E2C" w:rsidP="000A5E2C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a)  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 xml:space="preserve">The operational notification process </w:t>
            </w:r>
            <w:r w:rsidR="000D47C3" w:rsidRPr="000A5E2C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through each 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>new transm</w:t>
            </w:r>
            <w:r w:rsidR="00E06C2D" w:rsidRPr="000A5E2C">
              <w:rPr>
                <w:rFonts w:ascii="Arial" w:hAnsi="Arial" w:cs="Arial"/>
                <w:sz w:val="24"/>
                <w:szCs w:val="24"/>
              </w:rPr>
              <w:t>ission-connected demand facility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 xml:space="preserve"> owner, or each new transmission-connected distribution </w:t>
            </w:r>
            <w:r w:rsidR="00E06C2D" w:rsidRPr="000A5E2C">
              <w:rPr>
                <w:rFonts w:ascii="Arial" w:hAnsi="Arial" w:cs="Arial"/>
                <w:sz w:val="24"/>
                <w:szCs w:val="24"/>
              </w:rPr>
              <w:t>system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C2D" w:rsidRPr="000A5E2C">
              <w:rPr>
                <w:rFonts w:ascii="Arial" w:hAnsi="Arial" w:cs="Arial"/>
                <w:sz w:val="24"/>
                <w:szCs w:val="24"/>
              </w:rPr>
              <w:t>operator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7C3" w:rsidRPr="000A5E2C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notify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 xml:space="preserve"> the TSO about energisation</w:t>
            </w:r>
            <w:r w:rsidRPr="000A5E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 xml:space="preserve">operational notification, interim operational notification, limited operational notification, final 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lastRenderedPageBreak/>
              <w:t>operational notification with respect of all technical requirements mentioned in the technical norm 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>the operational notification process</w:t>
            </w:r>
            <w:r w:rsidR="000D47C3" w:rsidRPr="000A5E2C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through each 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 xml:space="preserve"> transmission-connected demand facilit</w:t>
            </w:r>
            <w:r w:rsidR="008E674F" w:rsidRPr="000A5E2C">
              <w:rPr>
                <w:rFonts w:ascii="Arial" w:hAnsi="Arial" w:cs="Arial"/>
                <w:sz w:val="24"/>
                <w:szCs w:val="24"/>
              </w:rPr>
              <w:t>y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 xml:space="preserve">, or each closed distribution sytem operator which provide demand response services confirms to relevant TSO, directly or through a third party  the capacity to fulfill the </w:t>
            </w:r>
            <w:r w:rsidR="000D47C3" w:rsidRPr="000A5E2C">
              <w:rPr>
                <w:rFonts w:ascii="Arial" w:hAnsi="Arial" w:cs="Arial"/>
                <w:color w:val="212121"/>
                <w:sz w:val="24"/>
                <w:szCs w:val="24"/>
              </w:rPr>
              <w:t xml:space="preserve">technical design and functional  requirements </w:t>
            </w:r>
            <w:r w:rsidR="008E674F" w:rsidRPr="000A5E2C">
              <w:rPr>
                <w:rFonts w:ascii="Arial" w:hAnsi="Arial" w:cs="Arial"/>
                <w:color w:val="212121"/>
                <w:sz w:val="24"/>
                <w:szCs w:val="24"/>
              </w:rPr>
              <w:t>mentioned</w:t>
            </w:r>
            <w:r w:rsidR="000D47C3" w:rsidRPr="000A5E2C">
              <w:rPr>
                <w:rFonts w:ascii="Arial" w:hAnsi="Arial" w:cs="Arial"/>
                <w:color w:val="212121"/>
                <w:sz w:val="24"/>
                <w:szCs w:val="24"/>
              </w:rPr>
              <w:t xml:space="preserve"> in the technical norm.</w:t>
            </w:r>
          </w:p>
          <w:p w:rsidR="000D47C3" w:rsidRPr="00EC7B12" w:rsidRDefault="000A5E2C" w:rsidP="004E2AA9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D47C3" w:rsidRPr="00EC7B12">
              <w:rPr>
                <w:rFonts w:ascii="Arial" w:hAnsi="Arial" w:cs="Arial"/>
                <w:sz w:val="24"/>
                <w:szCs w:val="24"/>
              </w:rPr>
              <w:t xml:space="preserve">b) The verification of </w:t>
            </w:r>
            <w:r w:rsidR="001C1201"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13C7D" w:rsidRPr="00EC7B12">
              <w:rPr>
                <w:rFonts w:ascii="Arial" w:hAnsi="Arial" w:cs="Arial"/>
                <w:sz w:val="24"/>
                <w:szCs w:val="24"/>
              </w:rPr>
              <w:t>compliance</w:t>
            </w:r>
            <w:r w:rsidR="000D47C3" w:rsidRPr="00EC7B12">
              <w:rPr>
                <w:rFonts w:ascii="Arial" w:hAnsi="Arial" w:cs="Arial"/>
                <w:sz w:val="24"/>
                <w:szCs w:val="24"/>
              </w:rPr>
              <w:t xml:space="preserve"> process which describes  tests, simulations  and measures required by </w:t>
            </w:r>
            <w:r w:rsidR="00407AF4"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D47C3" w:rsidRPr="00EC7B12">
              <w:rPr>
                <w:rFonts w:ascii="Arial" w:hAnsi="Arial" w:cs="Arial"/>
                <w:sz w:val="24"/>
                <w:szCs w:val="24"/>
              </w:rPr>
              <w:t xml:space="preserve">TSO/DSO for ensuring the </w:t>
            </w:r>
            <w:r w:rsidR="00213C7D" w:rsidRPr="00EC7B12">
              <w:rPr>
                <w:rFonts w:ascii="Arial" w:hAnsi="Arial" w:cs="Arial"/>
                <w:sz w:val="24"/>
                <w:szCs w:val="24"/>
              </w:rPr>
              <w:t xml:space="preserve">compliance </w:t>
            </w:r>
            <w:r w:rsidR="000D47C3" w:rsidRPr="00EC7B12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4E2AA9" w:rsidRPr="00EC7B12">
              <w:rPr>
                <w:rFonts w:ascii="Arial" w:hAnsi="Arial" w:cs="Arial"/>
                <w:sz w:val="24"/>
                <w:szCs w:val="24"/>
              </w:rPr>
              <w:t xml:space="preserve">technical </w:t>
            </w:r>
            <w:r w:rsidR="000D47C3" w:rsidRPr="00EC7B12">
              <w:rPr>
                <w:rFonts w:ascii="Arial" w:hAnsi="Arial" w:cs="Arial"/>
                <w:sz w:val="24"/>
                <w:szCs w:val="24"/>
              </w:rPr>
              <w:t xml:space="preserve">requirements of the norm </w:t>
            </w:r>
            <w:r w:rsidR="00A04754" w:rsidRPr="00EC7B12">
              <w:rPr>
                <w:rFonts w:ascii="Arial" w:hAnsi="Arial" w:cs="Arial"/>
                <w:sz w:val="24"/>
                <w:szCs w:val="24"/>
              </w:rPr>
              <w:t xml:space="preserve">throughout the </w:t>
            </w:r>
            <w:r w:rsidR="00A04754" w:rsidRPr="000A5E2C">
              <w:rPr>
                <w:rFonts w:ascii="Arial" w:hAnsi="Arial" w:cs="Arial"/>
                <w:sz w:val="24"/>
                <w:szCs w:val="24"/>
              </w:rPr>
              <w:t xml:space="preserve">lifetime </w:t>
            </w:r>
            <w:r w:rsidR="000D47C3" w:rsidRPr="000A5E2C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Pr="000A5E2C">
              <w:rPr>
                <w:rFonts w:ascii="Arial" w:hAnsi="Arial" w:cs="Arial"/>
                <w:sz w:val="24"/>
                <w:szCs w:val="24"/>
              </w:rPr>
              <w:t>generation facility</w:t>
            </w:r>
            <w:r w:rsidR="004E2A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4E2AA9" w:rsidRDefault="000D47C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lastRenderedPageBreak/>
              <w:t xml:space="preserve">Art. 22-26,  </w:t>
            </w:r>
          </w:p>
          <w:p w:rsidR="000D47C3" w:rsidRPr="00EC7B12" w:rsidRDefault="004E2AA9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D47C3" w:rsidRPr="00EC7B12">
              <w:rPr>
                <w:rFonts w:ascii="Arial" w:hAnsi="Arial" w:cs="Arial"/>
                <w:sz w:val="24"/>
                <w:szCs w:val="24"/>
              </w:rPr>
              <w:t xml:space="preserve"> 31-47</w:t>
            </w:r>
          </w:p>
        </w:tc>
        <w:tc>
          <w:tcPr>
            <w:tcW w:w="3238" w:type="dxa"/>
          </w:tcPr>
          <w:p w:rsidR="000D47C3" w:rsidRPr="00EC7B12" w:rsidRDefault="000D47C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Q3  2017 –Q1  2018</w:t>
            </w:r>
          </w:p>
          <w:p w:rsidR="000D47C3" w:rsidRPr="00EC7B12" w:rsidRDefault="000D47C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47C3" w:rsidRPr="00EC7B12" w:rsidRDefault="000D47C3" w:rsidP="004E2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 xml:space="preserve">The document </w:t>
            </w:r>
            <w:r w:rsidR="0057408B" w:rsidRPr="00EC7B12">
              <w:rPr>
                <w:rFonts w:ascii="Arial" w:hAnsi="Arial" w:cs="Arial"/>
                <w:sz w:val="24"/>
                <w:szCs w:val="24"/>
              </w:rPr>
              <w:t>is prepared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AC7AD1"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TSO in </w:t>
            </w:r>
            <w:r w:rsidR="00DC6E6E" w:rsidRPr="00EC7B12">
              <w:rPr>
                <w:rFonts w:ascii="Arial" w:hAnsi="Arial" w:cs="Arial"/>
                <w:sz w:val="24"/>
                <w:szCs w:val="24"/>
              </w:rPr>
              <w:t>cooperation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5266B7"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adjacent</w:t>
            </w:r>
            <w:r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distribution system operators</w:t>
            </w:r>
            <w:r w:rsidRPr="00EC7B12">
              <w:rPr>
                <w:rFonts w:ascii="Arial" w:hAnsi="Arial" w:cs="Arial"/>
                <w:sz w:val="24"/>
                <w:szCs w:val="24"/>
              </w:rPr>
              <w:t>, public consultation and approval</w:t>
            </w:r>
          </w:p>
        </w:tc>
      </w:tr>
      <w:tr w:rsidR="00083639" w:rsidRPr="00EC7B12" w:rsidTr="00EC7B12">
        <w:tc>
          <w:tcPr>
            <w:tcW w:w="1135" w:type="dxa"/>
          </w:tcPr>
          <w:p w:rsidR="00083639" w:rsidRPr="00EC7B12" w:rsidRDefault="00083639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lastRenderedPageBreak/>
              <w:t>3)</w:t>
            </w:r>
          </w:p>
        </w:tc>
        <w:tc>
          <w:tcPr>
            <w:tcW w:w="4394" w:type="dxa"/>
          </w:tcPr>
          <w:p w:rsidR="00083639" w:rsidRPr="00EC7B12" w:rsidRDefault="00083639" w:rsidP="00E91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The procedure regarding the classification of the existing transmission-connected demand facilities, the existing transmission-connected distribution facility, existing distribution systems and existing demand units, in the category for which the technical norms applies, as a</w:t>
            </w:r>
            <w:r w:rsidR="00DF21DA">
              <w:rPr>
                <w:rFonts w:ascii="Arial" w:hAnsi="Arial" w:cs="Arial"/>
                <w:sz w:val="24"/>
                <w:szCs w:val="24"/>
              </w:rPr>
              <w:t>n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1DA">
              <w:rPr>
                <w:rFonts w:ascii="Arial" w:hAnsi="Arial" w:cs="Arial"/>
                <w:sz w:val="24"/>
                <w:szCs w:val="24"/>
              </w:rPr>
              <w:t>outcome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of the technical </w:t>
            </w:r>
            <w:r w:rsidR="00E9115E">
              <w:rPr>
                <w:rFonts w:ascii="Arial" w:hAnsi="Arial" w:cs="Arial"/>
                <w:sz w:val="24"/>
                <w:szCs w:val="24"/>
              </w:rPr>
              <w:t>capabilities modification</w:t>
            </w:r>
            <w:r w:rsidRPr="00EC7B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1" w:type="dxa"/>
          </w:tcPr>
          <w:p w:rsidR="00083639" w:rsidRPr="00EC7B12" w:rsidRDefault="00083639" w:rsidP="00E91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 xml:space="preserve">The technical norms </w:t>
            </w:r>
            <w:r w:rsidR="00294D3E" w:rsidRPr="00EC7B12">
              <w:rPr>
                <w:rFonts w:ascii="Arial" w:hAnsi="Arial" w:cs="Arial"/>
                <w:sz w:val="24"/>
                <w:szCs w:val="24"/>
              </w:rPr>
              <w:t>requirements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applies for an existing  transmission-connected demand facility, </w:t>
            </w:r>
            <w:r w:rsidR="00DF21DA">
              <w:rPr>
                <w:rFonts w:ascii="Arial" w:hAnsi="Arial" w:cs="Arial"/>
                <w:sz w:val="24"/>
                <w:szCs w:val="24"/>
              </w:rPr>
              <w:t>an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existing transmission-connected distribution facility, </w:t>
            </w:r>
            <w:r w:rsidR="00DF21DA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EC7B12">
              <w:rPr>
                <w:rFonts w:ascii="Arial" w:hAnsi="Arial" w:cs="Arial"/>
                <w:sz w:val="24"/>
                <w:szCs w:val="24"/>
              </w:rPr>
              <w:t>existing distribution system</w:t>
            </w:r>
            <w:r w:rsidR="00DF21DA">
              <w:rPr>
                <w:rFonts w:ascii="Arial" w:hAnsi="Arial" w:cs="Arial"/>
                <w:sz w:val="24"/>
                <w:szCs w:val="24"/>
              </w:rPr>
              <w:t xml:space="preserve"> and existing demand unit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of a transmission-connected demand facility at a voltage  level above 1000 V or to a transmission-connected closed distribution system at a voltage level   above 1000 V,</w:t>
            </w:r>
            <w:r w:rsidR="008D63FF" w:rsidRPr="00EC7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B12">
              <w:rPr>
                <w:rFonts w:ascii="Arial" w:hAnsi="Arial" w:cs="Arial"/>
                <w:sz w:val="24"/>
                <w:szCs w:val="24"/>
              </w:rPr>
              <w:t>as a</w:t>
            </w:r>
            <w:r w:rsidR="00DF21DA">
              <w:rPr>
                <w:rFonts w:ascii="Arial" w:hAnsi="Arial" w:cs="Arial"/>
                <w:sz w:val="24"/>
                <w:szCs w:val="24"/>
              </w:rPr>
              <w:t>n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754" w:rsidRPr="00EC7B12">
              <w:rPr>
                <w:rFonts w:ascii="Arial" w:hAnsi="Arial" w:cs="Arial"/>
                <w:sz w:val="24"/>
                <w:szCs w:val="24"/>
              </w:rPr>
              <w:t>outcome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of the technical </w:t>
            </w:r>
            <w:r w:rsidR="00E9115E">
              <w:rPr>
                <w:rFonts w:ascii="Arial" w:hAnsi="Arial" w:cs="Arial"/>
                <w:sz w:val="24"/>
                <w:szCs w:val="24"/>
              </w:rPr>
              <w:t>capabilities</w:t>
            </w:r>
            <w:r w:rsidR="00E9115E">
              <w:t xml:space="preserve"> </w:t>
            </w:r>
            <w:r w:rsidR="00E9115E" w:rsidRPr="00E9115E">
              <w:rPr>
                <w:rFonts w:ascii="Arial" w:hAnsi="Arial" w:cs="Arial"/>
                <w:sz w:val="24"/>
                <w:szCs w:val="24"/>
              </w:rPr>
              <w:t>modification</w:t>
            </w:r>
            <w:r w:rsidRPr="00EC7B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083639" w:rsidRPr="00EC7B12" w:rsidRDefault="00083639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 xml:space="preserve">Art.4 </w:t>
            </w:r>
          </w:p>
        </w:tc>
        <w:tc>
          <w:tcPr>
            <w:tcW w:w="3238" w:type="dxa"/>
          </w:tcPr>
          <w:p w:rsidR="00083639" w:rsidRPr="00EC7B12" w:rsidRDefault="00083639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Q1  2018 –Q2  2018</w:t>
            </w:r>
          </w:p>
          <w:p w:rsidR="00083639" w:rsidRPr="00EC7B12" w:rsidRDefault="00083639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3639" w:rsidRPr="00EC7B12" w:rsidRDefault="00083639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 xml:space="preserve">The document </w:t>
            </w:r>
            <w:r w:rsidR="0057408B" w:rsidRPr="00EC7B12">
              <w:rPr>
                <w:rFonts w:ascii="Arial" w:hAnsi="Arial" w:cs="Arial"/>
                <w:sz w:val="24"/>
                <w:szCs w:val="24"/>
              </w:rPr>
              <w:t>is prepared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AC7AD1"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C7B12">
              <w:rPr>
                <w:rFonts w:ascii="Arial" w:hAnsi="Arial" w:cs="Arial"/>
                <w:sz w:val="24"/>
                <w:szCs w:val="24"/>
              </w:rPr>
              <w:t>TSO in co</w:t>
            </w:r>
            <w:r w:rsidR="00DC6E6E" w:rsidRPr="00EC7B12">
              <w:rPr>
                <w:rFonts w:ascii="Arial" w:hAnsi="Arial" w:cs="Arial"/>
                <w:sz w:val="24"/>
                <w:szCs w:val="24"/>
              </w:rPr>
              <w:t>opera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tion with </w:t>
            </w:r>
            <w:r w:rsidR="005266B7"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adjacent</w:t>
            </w:r>
            <w:r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distribution system operators</w:t>
            </w:r>
            <w:r w:rsidRPr="00EC7B12">
              <w:rPr>
                <w:rFonts w:ascii="Arial" w:hAnsi="Arial" w:cs="Arial"/>
                <w:sz w:val="24"/>
                <w:szCs w:val="24"/>
              </w:rPr>
              <w:t>, public consultation and approval</w:t>
            </w:r>
          </w:p>
        </w:tc>
      </w:tr>
      <w:tr w:rsidR="005E7483" w:rsidRPr="00EC7B12" w:rsidTr="00EC7B12">
        <w:tc>
          <w:tcPr>
            <w:tcW w:w="1135" w:type="dxa"/>
          </w:tcPr>
          <w:p w:rsidR="005E7483" w:rsidRPr="00EC7B12" w:rsidRDefault="005E748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4394" w:type="dxa"/>
          </w:tcPr>
          <w:p w:rsidR="005E7483" w:rsidRPr="00EC7B12" w:rsidRDefault="005E7483" w:rsidP="00DF21DA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C7B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Cost-benefit analysis methodology </w:t>
            </w:r>
            <w:r w:rsidR="00DF21DA">
              <w:rPr>
                <w:rFonts w:ascii="Arial" w:hAnsi="Arial" w:cs="Arial"/>
                <w:bCs/>
                <w:iCs/>
                <w:sz w:val="24"/>
                <w:szCs w:val="24"/>
              </w:rPr>
              <w:t>used to</w:t>
            </w:r>
            <w:r w:rsidRPr="00EC7B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identify the requirements </w:t>
            </w:r>
            <w:r w:rsidR="00DF21D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of the </w:t>
            </w:r>
            <w:r w:rsidRPr="00EC7B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the technical norm that </w:t>
            </w:r>
            <w:r w:rsidR="001A49BE" w:rsidRPr="00EC7B12">
              <w:rPr>
                <w:rFonts w:ascii="Arial" w:hAnsi="Arial" w:cs="Arial"/>
                <w:bCs/>
                <w:iCs/>
                <w:sz w:val="24"/>
                <w:szCs w:val="24"/>
              </w:rPr>
              <w:t>shall</w:t>
            </w:r>
            <w:r w:rsidR="00E9115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be fulfill</w:t>
            </w:r>
            <w:r w:rsidRPr="00EC7B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by existing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transmission-connected demand facilities, the existing </w:t>
            </w:r>
            <w:r w:rsidRPr="00EC7B12">
              <w:rPr>
                <w:rFonts w:ascii="Arial" w:hAnsi="Arial" w:cs="Arial"/>
                <w:sz w:val="24"/>
                <w:szCs w:val="24"/>
              </w:rPr>
              <w:lastRenderedPageBreak/>
              <w:t xml:space="preserve">transmission-connected distribution facilities, existing distribution systems and existing demand units , as well as for identifying the requirements </w:t>
            </w:r>
            <w:r w:rsidR="00DF21DA">
              <w:rPr>
                <w:rFonts w:ascii="Arial" w:hAnsi="Arial" w:cs="Arial"/>
                <w:sz w:val="24"/>
                <w:szCs w:val="24"/>
              </w:rPr>
              <w:t>of the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technical norm which not applies to</w:t>
            </w:r>
            <w:r w:rsidRPr="00EC7B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EC7B12">
              <w:rPr>
                <w:rFonts w:ascii="Arial" w:hAnsi="Arial" w:cs="Arial"/>
                <w:sz w:val="24"/>
                <w:szCs w:val="24"/>
              </w:rPr>
              <w:t>transmission-connected demand facilities, the transmission-connected distribution facilities, distribution systems and demand units used to provide demand response services, for which derogation is required .</w:t>
            </w:r>
          </w:p>
        </w:tc>
        <w:tc>
          <w:tcPr>
            <w:tcW w:w="4301" w:type="dxa"/>
          </w:tcPr>
          <w:p w:rsidR="005E7483" w:rsidRPr="00EC7B12" w:rsidRDefault="005E7483" w:rsidP="00F0073D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EC7B1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TSO develops a methodology regarding the qualitative and quantitative analysis of costs and benefits which </w:t>
            </w:r>
            <w:r w:rsidR="00A04754" w:rsidRPr="00EC7B12">
              <w:rPr>
                <w:rFonts w:ascii="Arial" w:hAnsi="Arial" w:cs="Arial"/>
                <w:bCs/>
                <w:sz w:val="24"/>
                <w:szCs w:val="24"/>
              </w:rPr>
              <w:t>outcome</w:t>
            </w:r>
            <w:r w:rsidR="00DF21DA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EC7B12">
              <w:rPr>
                <w:rFonts w:ascii="Arial" w:hAnsi="Arial" w:cs="Arial"/>
                <w:bCs/>
                <w:sz w:val="24"/>
                <w:szCs w:val="24"/>
              </w:rPr>
              <w:t xml:space="preserve"> from the application of </w:t>
            </w:r>
            <w:r w:rsidR="004F7179" w:rsidRPr="00EC7B12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EC7B12">
              <w:rPr>
                <w:rFonts w:ascii="Arial" w:hAnsi="Arial" w:cs="Arial"/>
                <w:bCs/>
                <w:sz w:val="24"/>
                <w:szCs w:val="24"/>
              </w:rPr>
              <w:t xml:space="preserve">technical norm </w:t>
            </w:r>
            <w:r w:rsidRPr="00EC7B1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requirements to </w:t>
            </w:r>
            <w:r w:rsidRPr="00EC7B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existing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transmission-connected demand facilities, </w:t>
            </w:r>
            <w:r w:rsidR="00DF21D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the existing transmission-connected distribution facilities, </w:t>
            </w:r>
            <w:r w:rsidR="008D59D0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existing </w:t>
            </w:r>
            <w:r w:rsidRPr="008D59D0">
              <w:rPr>
                <w:rFonts w:ascii="Arial" w:hAnsi="Arial" w:cs="Arial"/>
                <w:sz w:val="24"/>
                <w:szCs w:val="24"/>
              </w:rPr>
              <w:t xml:space="preserve">distribution systems and </w:t>
            </w:r>
            <w:r w:rsidR="008D59D0" w:rsidRPr="008D59D0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r w:rsidRPr="008D59D0">
              <w:rPr>
                <w:rFonts w:ascii="Arial" w:hAnsi="Arial" w:cs="Arial"/>
                <w:sz w:val="24"/>
                <w:szCs w:val="24"/>
              </w:rPr>
              <w:t xml:space="preserve">existing demand units, as well as regarding </w:t>
            </w:r>
            <w:r w:rsidR="008D59D0" w:rsidRPr="008D59D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D59D0">
              <w:rPr>
                <w:rFonts w:ascii="Arial" w:hAnsi="Arial" w:cs="Arial"/>
                <w:sz w:val="24"/>
                <w:szCs w:val="24"/>
              </w:rPr>
              <w:t xml:space="preserve">disapplication of some </w:t>
            </w:r>
            <w:r w:rsidR="00224EC4" w:rsidRPr="008D59D0">
              <w:rPr>
                <w:rFonts w:ascii="Arial" w:hAnsi="Arial" w:cs="Arial"/>
                <w:sz w:val="24"/>
                <w:szCs w:val="24"/>
              </w:rPr>
              <w:t>r</w:t>
            </w:r>
            <w:r w:rsidRPr="008D59D0">
              <w:rPr>
                <w:rFonts w:ascii="Arial" w:hAnsi="Arial" w:cs="Arial"/>
                <w:sz w:val="24"/>
                <w:szCs w:val="24"/>
              </w:rPr>
              <w:t xml:space="preserve">equirements </w:t>
            </w:r>
            <w:r w:rsidR="008D59D0">
              <w:rPr>
                <w:rFonts w:ascii="Arial" w:hAnsi="Arial" w:cs="Arial"/>
                <w:sz w:val="24"/>
                <w:szCs w:val="24"/>
              </w:rPr>
              <w:t>mentioned</w:t>
            </w:r>
            <w:r w:rsidRPr="008D59D0">
              <w:rPr>
                <w:rFonts w:ascii="Arial" w:hAnsi="Arial" w:cs="Arial"/>
                <w:sz w:val="24"/>
                <w:szCs w:val="24"/>
              </w:rPr>
              <w:t xml:space="preserve"> in technical norm for </w:t>
            </w:r>
            <w:r w:rsidR="008D59D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D59D0">
              <w:rPr>
                <w:rFonts w:ascii="Arial" w:hAnsi="Arial" w:cs="Arial"/>
                <w:sz w:val="24"/>
                <w:szCs w:val="24"/>
              </w:rPr>
              <w:t xml:space="preserve">transmission-connected </w:t>
            </w:r>
            <w:r w:rsidRPr="00EC7B12">
              <w:rPr>
                <w:rFonts w:ascii="Arial" w:hAnsi="Arial" w:cs="Arial"/>
                <w:sz w:val="24"/>
                <w:szCs w:val="24"/>
              </w:rPr>
              <w:t>demand facilities, the transmission-connected distribution facilities, distribution systems and demand units used to provide demand response services, for which derogation is required</w:t>
            </w:r>
            <w:r w:rsidR="008D59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7483" w:rsidRPr="00EC7B12" w:rsidRDefault="005E7483" w:rsidP="00F0073D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:rsidR="005E7483" w:rsidRPr="00EC7B12" w:rsidRDefault="005E748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lastRenderedPageBreak/>
              <w:t>Art.</w:t>
            </w:r>
            <w:r w:rsidR="008D5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B12">
              <w:rPr>
                <w:rFonts w:ascii="Arial" w:hAnsi="Arial" w:cs="Arial"/>
                <w:sz w:val="24"/>
                <w:szCs w:val="24"/>
              </w:rPr>
              <w:t>4, 48, 49</w:t>
            </w:r>
          </w:p>
          <w:p w:rsidR="004F7179" w:rsidRPr="00EC7B12" w:rsidRDefault="004F7179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:rsidR="005E7483" w:rsidRPr="00EC7B12" w:rsidRDefault="005E748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Q2  2017 –Q3  2017</w:t>
            </w:r>
          </w:p>
          <w:p w:rsidR="005E7483" w:rsidRPr="00EC7B12" w:rsidRDefault="005E748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7605" w:rsidRPr="00EC7B12" w:rsidRDefault="005E748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 xml:space="preserve">The document </w:t>
            </w:r>
            <w:r w:rsidR="0057408B" w:rsidRPr="00EC7B12">
              <w:rPr>
                <w:rFonts w:ascii="Arial" w:hAnsi="Arial" w:cs="Arial"/>
                <w:sz w:val="24"/>
                <w:szCs w:val="24"/>
              </w:rPr>
              <w:t xml:space="preserve">is prepared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AC7AD1"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TSO in </w:t>
            </w:r>
            <w:r w:rsidR="00DC6E6E" w:rsidRPr="00EC7B12">
              <w:rPr>
                <w:rFonts w:ascii="Arial" w:hAnsi="Arial" w:cs="Arial"/>
                <w:sz w:val="24"/>
                <w:szCs w:val="24"/>
              </w:rPr>
              <w:t xml:space="preserve">cooperation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57408B"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adjacent</w:t>
            </w:r>
            <w:r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distribution </w:t>
            </w:r>
            <w:r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system operators</w:t>
            </w:r>
            <w:r w:rsidRPr="00EC7B12">
              <w:rPr>
                <w:rFonts w:ascii="Arial" w:hAnsi="Arial" w:cs="Arial"/>
                <w:sz w:val="24"/>
                <w:szCs w:val="24"/>
              </w:rPr>
              <w:t>, public consultation and approval</w:t>
            </w:r>
            <w:r w:rsidR="00C8452C" w:rsidRPr="00EC7B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7483" w:rsidRPr="00EC7B12" w:rsidRDefault="005E7483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F38" w:rsidRPr="00EC7B12" w:rsidTr="00EC7B12">
        <w:tc>
          <w:tcPr>
            <w:tcW w:w="1135" w:type="dxa"/>
          </w:tcPr>
          <w:p w:rsidR="00870F38" w:rsidRPr="00EC7B12" w:rsidRDefault="00870F38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lastRenderedPageBreak/>
              <w:t>5)</w:t>
            </w:r>
          </w:p>
        </w:tc>
        <w:tc>
          <w:tcPr>
            <w:tcW w:w="4394" w:type="dxa"/>
          </w:tcPr>
          <w:p w:rsidR="00870F38" w:rsidRPr="00EC7B12" w:rsidRDefault="00870F38" w:rsidP="00F0073D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  <w:vertAlign w:val="superscript"/>
              </w:rPr>
            </w:pPr>
            <w:r w:rsidRPr="00EC7B12">
              <w:rPr>
                <w:rFonts w:ascii="Arial" w:hAnsi="Arial" w:cs="Arial"/>
                <w:color w:val="212121"/>
                <w:sz w:val="24"/>
                <w:szCs w:val="24"/>
              </w:rPr>
              <w:t xml:space="preserve">Criteria for granting derogations for one or more 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requirements mentioned in </w:t>
            </w:r>
            <w:r w:rsidR="008D59D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C7B12">
              <w:rPr>
                <w:rFonts w:ascii="Arial" w:hAnsi="Arial" w:cs="Arial"/>
                <w:sz w:val="24"/>
                <w:szCs w:val="24"/>
              </w:rPr>
              <w:t>technical norm for transmission-connected demand facilities,</w:t>
            </w:r>
            <w:r w:rsidR="008D59D0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the transmission-connected distribution facilities, </w:t>
            </w:r>
            <w:r w:rsidR="008D59D0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1A699F"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distribution systems and </w:t>
            </w:r>
            <w:r w:rsidR="008D59D0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1A699F"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C7B12">
              <w:rPr>
                <w:rFonts w:ascii="Arial" w:hAnsi="Arial" w:cs="Arial"/>
                <w:sz w:val="24"/>
                <w:szCs w:val="24"/>
              </w:rPr>
              <w:t>demand units used to provide demand response services.</w:t>
            </w:r>
          </w:p>
          <w:p w:rsidR="00870F38" w:rsidRPr="00EC7B12" w:rsidRDefault="00870F38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:rsidR="00870F38" w:rsidRPr="006A269A" w:rsidRDefault="008D59D0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69A">
              <w:rPr>
                <w:rFonts w:ascii="Arial" w:hAnsi="Arial" w:cs="Arial"/>
                <w:bCs/>
                <w:sz w:val="24"/>
                <w:szCs w:val="24"/>
              </w:rPr>
              <w:t xml:space="preserve">NRA specifies, after consulting </w:t>
            </w:r>
            <w:r w:rsidR="00870F38" w:rsidRPr="006A269A">
              <w:rPr>
                <w:rFonts w:ascii="Arial" w:hAnsi="Arial" w:cs="Arial"/>
                <w:bCs/>
                <w:sz w:val="24"/>
                <w:szCs w:val="24"/>
              </w:rPr>
              <w:t xml:space="preserve">the relevant system operators, the </w:t>
            </w:r>
            <w:r w:rsidR="00870F38" w:rsidRPr="006A269A">
              <w:rPr>
                <w:rFonts w:ascii="Arial" w:hAnsi="Arial" w:cs="Arial"/>
                <w:sz w:val="24"/>
                <w:szCs w:val="24"/>
              </w:rPr>
              <w:t xml:space="preserve">demand facility owners, the DSO, closed system distribution system </w:t>
            </w:r>
            <w:r w:rsidR="00B145F0" w:rsidRPr="006A269A">
              <w:rPr>
                <w:rFonts w:ascii="Arial" w:hAnsi="Arial" w:cs="Arial"/>
                <w:sz w:val="24"/>
                <w:szCs w:val="24"/>
              </w:rPr>
              <w:t>operators</w:t>
            </w:r>
            <w:r w:rsidR="00870F38" w:rsidRPr="006A269A">
              <w:rPr>
                <w:rFonts w:ascii="Arial" w:hAnsi="Arial" w:cs="Arial"/>
                <w:sz w:val="24"/>
                <w:szCs w:val="24"/>
              </w:rPr>
              <w:t xml:space="preserve"> and other </w:t>
            </w:r>
            <w:r w:rsidR="00B145F0" w:rsidRPr="006A269A">
              <w:rPr>
                <w:rFonts w:ascii="Arial" w:hAnsi="Arial" w:cs="Arial"/>
                <w:sz w:val="24"/>
                <w:szCs w:val="24"/>
              </w:rPr>
              <w:t xml:space="preserve">stakeholders </w:t>
            </w:r>
            <w:r w:rsidR="006A269A" w:rsidRPr="006A269A">
              <w:rPr>
                <w:rFonts w:ascii="Arial" w:hAnsi="Arial" w:cs="Arial"/>
                <w:sz w:val="24"/>
                <w:szCs w:val="24"/>
              </w:rPr>
              <w:t xml:space="preserve">whom it deems affected by </w:t>
            </w:r>
            <w:r w:rsidR="00F0370E" w:rsidRPr="006A269A">
              <w:rPr>
                <w:rFonts w:ascii="Arial" w:hAnsi="Arial" w:cs="Arial"/>
                <w:sz w:val="24"/>
                <w:szCs w:val="24"/>
              </w:rPr>
              <w:t>requirements</w:t>
            </w:r>
            <w:r w:rsidR="00870F38" w:rsidRPr="006A269A">
              <w:rPr>
                <w:rFonts w:ascii="Arial" w:hAnsi="Arial" w:cs="Arial"/>
                <w:sz w:val="24"/>
                <w:szCs w:val="24"/>
              </w:rPr>
              <w:t xml:space="preserve"> of the technical norm, the criteria for granting derogations for one or more requirements mentioned in technical norms for </w:t>
            </w:r>
            <w:r w:rsidR="006A269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70F38" w:rsidRPr="006A269A">
              <w:rPr>
                <w:rFonts w:ascii="Arial" w:hAnsi="Arial" w:cs="Arial"/>
                <w:sz w:val="24"/>
                <w:szCs w:val="24"/>
              </w:rPr>
              <w:t xml:space="preserve">transmission-connected demand facilities, the transmission-connected distribution facilities, distribution </w:t>
            </w:r>
            <w:r w:rsidR="00870F38" w:rsidRPr="006A269A">
              <w:rPr>
                <w:rFonts w:ascii="Arial" w:hAnsi="Arial" w:cs="Arial"/>
                <w:sz w:val="24"/>
                <w:szCs w:val="24"/>
              </w:rPr>
              <w:lastRenderedPageBreak/>
              <w:t>systems and demand units used to provide demand response services</w:t>
            </w:r>
            <w:r w:rsidR="006A269A">
              <w:rPr>
                <w:rFonts w:ascii="Arial" w:hAnsi="Arial" w:cs="Arial"/>
                <w:sz w:val="24"/>
                <w:szCs w:val="24"/>
              </w:rPr>
              <w:t>,</w:t>
            </w:r>
            <w:r w:rsidR="00870F38" w:rsidRPr="006A269A">
              <w:rPr>
                <w:rFonts w:ascii="Arial" w:hAnsi="Arial" w:cs="Arial"/>
                <w:sz w:val="24"/>
                <w:szCs w:val="24"/>
              </w:rPr>
              <w:t xml:space="preserve"> for the new and for the existing. </w:t>
            </w:r>
          </w:p>
          <w:p w:rsidR="00870F38" w:rsidRPr="006A269A" w:rsidRDefault="00F136A8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69A">
              <w:rPr>
                <w:rFonts w:ascii="Arial" w:hAnsi="Arial" w:cs="Arial"/>
                <w:sz w:val="24"/>
                <w:szCs w:val="24"/>
              </w:rPr>
              <w:t>NRA publishes those criteria on its website and notifies them to the Commission within 9 months from entry into force of this Regulation.</w:t>
            </w:r>
          </w:p>
        </w:tc>
        <w:tc>
          <w:tcPr>
            <w:tcW w:w="1959" w:type="dxa"/>
          </w:tcPr>
          <w:p w:rsidR="00870F38" w:rsidRPr="00EC7B12" w:rsidRDefault="00870F38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lastRenderedPageBreak/>
              <w:t>Art.51</w:t>
            </w:r>
          </w:p>
        </w:tc>
        <w:tc>
          <w:tcPr>
            <w:tcW w:w="3238" w:type="dxa"/>
          </w:tcPr>
          <w:p w:rsidR="00870F38" w:rsidRPr="00EE19BC" w:rsidRDefault="00870F38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9BC">
              <w:rPr>
                <w:rFonts w:ascii="Arial" w:hAnsi="Arial" w:cs="Arial"/>
                <w:sz w:val="24"/>
                <w:szCs w:val="24"/>
              </w:rPr>
              <w:t>Q1  2017 –Q2  2017</w:t>
            </w:r>
          </w:p>
          <w:p w:rsidR="00870F38" w:rsidRPr="00EE19BC" w:rsidRDefault="00870F38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19BC" w:rsidRPr="00EE19BC" w:rsidRDefault="00507E96" w:rsidP="00EE19BC">
            <w:pPr>
              <w:rPr>
                <w:rFonts w:ascii="Arial" w:hAnsi="Arial" w:cs="Arial"/>
                <w:sz w:val="24"/>
                <w:szCs w:val="24"/>
              </w:rPr>
            </w:pPr>
            <w:r w:rsidRPr="00EE19BC">
              <w:rPr>
                <w:rFonts w:ascii="Arial" w:hAnsi="Arial" w:cs="Arial"/>
                <w:sz w:val="24"/>
                <w:szCs w:val="24"/>
              </w:rPr>
              <w:t>A Draft P</w:t>
            </w:r>
            <w:r w:rsidR="00857111" w:rsidRPr="00EE19BC">
              <w:rPr>
                <w:rFonts w:ascii="Arial" w:hAnsi="Arial" w:cs="Arial"/>
                <w:sz w:val="24"/>
                <w:szCs w:val="24"/>
              </w:rPr>
              <w:t>aper</w:t>
            </w:r>
            <w:r w:rsidR="00870F38" w:rsidRPr="00EE19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08B" w:rsidRPr="00EE19BC">
              <w:rPr>
                <w:rFonts w:ascii="Arial" w:hAnsi="Arial" w:cs="Arial"/>
                <w:sz w:val="24"/>
                <w:szCs w:val="24"/>
              </w:rPr>
              <w:t>is prepared</w:t>
            </w:r>
            <w:r w:rsidR="00870F38" w:rsidRPr="00EE19BC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AC7AD1" w:rsidRPr="00EE19B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47605" w:rsidRPr="00EE19BC">
              <w:rPr>
                <w:rFonts w:ascii="Arial" w:hAnsi="Arial" w:cs="Arial"/>
                <w:sz w:val="24"/>
                <w:szCs w:val="24"/>
              </w:rPr>
              <w:t>ANRE</w:t>
            </w:r>
            <w:r w:rsidR="00870F38" w:rsidRPr="00EE19BC">
              <w:rPr>
                <w:rFonts w:ascii="Arial" w:hAnsi="Arial" w:cs="Arial"/>
                <w:sz w:val="24"/>
                <w:szCs w:val="24"/>
              </w:rPr>
              <w:t>, public consultation and approval</w:t>
            </w:r>
            <w:r w:rsidR="00C8452C" w:rsidRPr="00EE19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E19BC" w:rsidRPr="00EE19BC">
              <w:rPr>
                <w:rFonts w:ascii="Arial" w:hAnsi="Arial" w:cs="Arial"/>
                <w:sz w:val="24"/>
                <w:szCs w:val="24"/>
              </w:rPr>
              <w:t>submission to the Commission and publication</w:t>
            </w:r>
          </w:p>
          <w:p w:rsidR="00EE19BC" w:rsidRPr="00EE19BC" w:rsidRDefault="00EE19BC" w:rsidP="00EE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DB2" w:rsidRPr="00EC7B12" w:rsidTr="00EC7B12">
        <w:tc>
          <w:tcPr>
            <w:tcW w:w="1135" w:type="dxa"/>
          </w:tcPr>
          <w:p w:rsidR="00300DB2" w:rsidRPr="00EC7B12" w:rsidRDefault="00300DB2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lastRenderedPageBreak/>
              <w:t>(6)</w:t>
            </w:r>
          </w:p>
        </w:tc>
        <w:tc>
          <w:tcPr>
            <w:tcW w:w="4394" w:type="dxa"/>
          </w:tcPr>
          <w:p w:rsidR="00300DB2" w:rsidRPr="00EC7B12" w:rsidRDefault="00300DB2" w:rsidP="00F0073D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  <w:vertAlign w:val="superscript"/>
              </w:rPr>
            </w:pPr>
            <w:r w:rsidRPr="00EC7B12">
              <w:rPr>
                <w:rFonts w:ascii="Arial" w:hAnsi="Arial" w:cs="Arial"/>
                <w:color w:val="212121"/>
                <w:sz w:val="24"/>
                <w:szCs w:val="24"/>
              </w:rPr>
              <w:t xml:space="preserve">The procedure </w:t>
            </w:r>
            <w:r w:rsidR="006A1203">
              <w:rPr>
                <w:rFonts w:ascii="Arial" w:hAnsi="Arial" w:cs="Arial"/>
                <w:color w:val="212121"/>
                <w:sz w:val="24"/>
                <w:szCs w:val="24"/>
              </w:rPr>
              <w:t>of</w:t>
            </w:r>
            <w:r w:rsidRPr="00EC7B12">
              <w:rPr>
                <w:rFonts w:ascii="Arial" w:hAnsi="Arial" w:cs="Arial"/>
                <w:color w:val="212121"/>
                <w:sz w:val="24"/>
                <w:szCs w:val="24"/>
              </w:rPr>
              <w:t xml:space="preserve"> granting derogations from 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one or more requirements mentioned in </w:t>
            </w:r>
            <w:r w:rsidR="006A1203">
              <w:rPr>
                <w:rFonts w:ascii="Arial" w:hAnsi="Arial" w:cs="Arial"/>
                <w:sz w:val="24"/>
                <w:szCs w:val="24"/>
              </w:rPr>
              <w:t>the technical norm</w:t>
            </w:r>
            <w:r w:rsidRPr="00EC7B12">
              <w:rPr>
                <w:rFonts w:ascii="Arial" w:hAnsi="Arial" w:cs="Arial"/>
                <w:sz w:val="24"/>
                <w:szCs w:val="24"/>
              </w:rPr>
              <w:t xml:space="preserve"> for transmission-connected demand facilities, the transmission-connected distribution facilities, the distribution systems and the demand units used to provide demand response services.</w:t>
            </w:r>
          </w:p>
          <w:p w:rsidR="00300DB2" w:rsidRPr="00EC7B12" w:rsidRDefault="00300DB2" w:rsidP="00F0073D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301" w:type="dxa"/>
          </w:tcPr>
          <w:p w:rsidR="00300DB2" w:rsidRPr="006A1203" w:rsidRDefault="0028286D" w:rsidP="00F0073D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1203">
              <w:rPr>
                <w:rFonts w:ascii="Arial" w:hAnsi="Arial" w:cs="Arial"/>
                <w:bCs/>
                <w:sz w:val="24"/>
                <w:szCs w:val="24"/>
              </w:rPr>
              <w:t xml:space="preserve">NRA approves the procedure of granting </w:t>
            </w:r>
            <w:r w:rsidRPr="006A1203">
              <w:rPr>
                <w:rFonts w:ascii="Arial" w:hAnsi="Arial" w:cs="Arial"/>
                <w:sz w:val="24"/>
                <w:szCs w:val="24"/>
                <w:lang w:val="en"/>
              </w:rPr>
              <w:t>derogations prepared by the TSO, after the end of the public consultation process from where the derogation criteria are set. This process is not affected by the favo</w:t>
            </w:r>
            <w:r w:rsidR="00E55EF7">
              <w:rPr>
                <w:rFonts w:ascii="Arial" w:hAnsi="Arial" w:cs="Arial"/>
                <w:sz w:val="24"/>
                <w:szCs w:val="24"/>
                <w:lang w:val="en"/>
              </w:rPr>
              <w:t>u</w:t>
            </w:r>
            <w:r w:rsidRPr="006A1203">
              <w:rPr>
                <w:rFonts w:ascii="Arial" w:hAnsi="Arial" w:cs="Arial"/>
                <w:sz w:val="24"/>
                <w:szCs w:val="24"/>
                <w:lang w:val="en"/>
              </w:rPr>
              <w:t xml:space="preserve">rable or </w:t>
            </w:r>
            <w:r w:rsidRPr="006A12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unfavo</w:t>
            </w:r>
            <w:r w:rsidR="00E55E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</w:t>
            </w:r>
            <w:r w:rsidRPr="006A12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rable</w:t>
            </w:r>
            <w:r w:rsidRPr="006A1203">
              <w:rPr>
                <w:rFonts w:ascii="Arial" w:hAnsi="Arial" w:cs="Arial"/>
                <w:sz w:val="24"/>
                <w:szCs w:val="24"/>
                <w:lang w:val="en"/>
              </w:rPr>
              <w:t xml:space="preserve"> recommendation of  </w:t>
            </w:r>
            <w:r w:rsidRPr="006A1203">
              <w:rPr>
                <w:rFonts w:ascii="Arial" w:hAnsi="Arial" w:cs="Arial"/>
                <w:sz w:val="24"/>
                <w:szCs w:val="24"/>
              </w:rPr>
              <w:t>the Commission regarding the NRA proposal related to the criteria for the established derogations.</w:t>
            </w:r>
          </w:p>
        </w:tc>
        <w:tc>
          <w:tcPr>
            <w:tcW w:w="1959" w:type="dxa"/>
          </w:tcPr>
          <w:p w:rsidR="00300DB2" w:rsidRPr="00EC7B12" w:rsidRDefault="00300DB2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Art.52-55</w:t>
            </w:r>
          </w:p>
        </w:tc>
        <w:tc>
          <w:tcPr>
            <w:tcW w:w="3238" w:type="dxa"/>
          </w:tcPr>
          <w:p w:rsidR="00300DB2" w:rsidRPr="00EC7B12" w:rsidRDefault="00300DB2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Q1  2018 –Q2  2018</w:t>
            </w:r>
          </w:p>
          <w:p w:rsidR="00300DB2" w:rsidRPr="00EC7B12" w:rsidRDefault="00300DB2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0DB2" w:rsidRPr="00EC7B12" w:rsidRDefault="00507E96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2">
              <w:rPr>
                <w:rFonts w:ascii="Arial" w:hAnsi="Arial" w:cs="Arial"/>
                <w:sz w:val="24"/>
                <w:szCs w:val="24"/>
              </w:rPr>
              <w:t>A Draft P</w:t>
            </w:r>
            <w:r w:rsidR="00857111" w:rsidRPr="00EC7B12">
              <w:rPr>
                <w:rFonts w:ascii="Arial" w:hAnsi="Arial" w:cs="Arial"/>
                <w:sz w:val="24"/>
                <w:szCs w:val="24"/>
              </w:rPr>
              <w:t xml:space="preserve">aper </w:t>
            </w:r>
            <w:r w:rsidR="00300DB2" w:rsidRPr="00EC7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7AD1" w:rsidRPr="00EC7B12">
              <w:rPr>
                <w:rFonts w:ascii="Arial" w:hAnsi="Arial" w:cs="Arial"/>
                <w:sz w:val="24"/>
                <w:szCs w:val="24"/>
              </w:rPr>
              <w:t xml:space="preserve">is prepared </w:t>
            </w:r>
            <w:r w:rsidR="00300DB2" w:rsidRPr="00EC7B12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AC7AD1" w:rsidRPr="00EC7B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00DB2" w:rsidRPr="00EC7B12">
              <w:rPr>
                <w:rFonts w:ascii="Arial" w:hAnsi="Arial" w:cs="Arial"/>
                <w:sz w:val="24"/>
                <w:szCs w:val="24"/>
              </w:rPr>
              <w:t xml:space="preserve">TSO in </w:t>
            </w:r>
            <w:r w:rsidR="00DC6E6E" w:rsidRPr="00EC7B12">
              <w:rPr>
                <w:rFonts w:ascii="Arial" w:hAnsi="Arial" w:cs="Arial"/>
                <w:sz w:val="24"/>
                <w:szCs w:val="24"/>
              </w:rPr>
              <w:t>cooperation</w:t>
            </w:r>
            <w:r w:rsidR="00300DB2" w:rsidRPr="00EC7B12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AC7AD1"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adjacent </w:t>
            </w:r>
            <w:r w:rsidR="00300DB2" w:rsidRPr="00EC7B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distribution system operators</w:t>
            </w:r>
            <w:r w:rsidR="00300DB2" w:rsidRPr="00EC7B12">
              <w:rPr>
                <w:rFonts w:ascii="Arial" w:hAnsi="Arial" w:cs="Arial"/>
                <w:sz w:val="24"/>
                <w:szCs w:val="24"/>
              </w:rPr>
              <w:t>, public consultation and approval.</w:t>
            </w:r>
          </w:p>
          <w:p w:rsidR="00300DB2" w:rsidRPr="00EC7B12" w:rsidRDefault="00300DB2" w:rsidP="00F007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DBD" w:rsidRPr="00EC7B12" w:rsidRDefault="00AF4DBD" w:rsidP="00F0073D">
      <w:pPr>
        <w:jc w:val="both"/>
        <w:rPr>
          <w:rFonts w:ascii="Arial" w:hAnsi="Arial" w:cs="Arial"/>
          <w:sz w:val="24"/>
          <w:szCs w:val="24"/>
        </w:rPr>
      </w:pPr>
    </w:p>
    <w:sectPr w:rsidR="00AF4DBD" w:rsidRPr="00EC7B12" w:rsidSect="00EC7B1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1C" w:rsidRDefault="0037061C" w:rsidP="0037061C">
      <w:pPr>
        <w:spacing w:after="0" w:line="240" w:lineRule="auto"/>
      </w:pPr>
      <w:r>
        <w:separator/>
      </w:r>
    </w:p>
  </w:endnote>
  <w:endnote w:type="continuationSeparator" w:id="0">
    <w:p w:rsidR="0037061C" w:rsidRDefault="0037061C" w:rsidP="0037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558169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61C" w:rsidRDefault="0037061C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36113">
          <w:t>2</w:t>
        </w:r>
        <w:r>
          <w:fldChar w:fldCharType="end"/>
        </w:r>
      </w:p>
    </w:sdtContent>
  </w:sdt>
  <w:p w:rsidR="0037061C" w:rsidRDefault="00370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1C" w:rsidRDefault="0037061C" w:rsidP="0037061C">
      <w:pPr>
        <w:spacing w:after="0" w:line="240" w:lineRule="auto"/>
      </w:pPr>
      <w:r>
        <w:separator/>
      </w:r>
    </w:p>
  </w:footnote>
  <w:footnote w:type="continuationSeparator" w:id="0">
    <w:p w:rsidR="0037061C" w:rsidRDefault="0037061C" w:rsidP="0037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361B"/>
    <w:multiLevelType w:val="hybridMultilevel"/>
    <w:tmpl w:val="F2B81D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268D"/>
    <w:multiLevelType w:val="hybridMultilevel"/>
    <w:tmpl w:val="A09C29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1A"/>
    <w:rsid w:val="00083639"/>
    <w:rsid w:val="000A4042"/>
    <w:rsid w:val="000A5E2C"/>
    <w:rsid w:val="000B111A"/>
    <w:rsid w:val="000C1661"/>
    <w:rsid w:val="000D47C3"/>
    <w:rsid w:val="00110DFC"/>
    <w:rsid w:val="00114C03"/>
    <w:rsid w:val="00165788"/>
    <w:rsid w:val="00197C15"/>
    <w:rsid w:val="001A49BE"/>
    <w:rsid w:val="001A699F"/>
    <w:rsid w:val="001C1201"/>
    <w:rsid w:val="00213C7D"/>
    <w:rsid w:val="00224EC4"/>
    <w:rsid w:val="002369E1"/>
    <w:rsid w:val="00247605"/>
    <w:rsid w:val="0028286D"/>
    <w:rsid w:val="00294D3E"/>
    <w:rsid w:val="002B17B4"/>
    <w:rsid w:val="002B1F8C"/>
    <w:rsid w:val="002B52F5"/>
    <w:rsid w:val="002C3371"/>
    <w:rsid w:val="00300DB2"/>
    <w:rsid w:val="0037061C"/>
    <w:rsid w:val="003B4C2F"/>
    <w:rsid w:val="003C465E"/>
    <w:rsid w:val="003E7A19"/>
    <w:rsid w:val="00407AF4"/>
    <w:rsid w:val="0043731F"/>
    <w:rsid w:val="00476B79"/>
    <w:rsid w:val="004B3B10"/>
    <w:rsid w:val="004E2AA9"/>
    <w:rsid w:val="004F41F3"/>
    <w:rsid w:val="004F7179"/>
    <w:rsid w:val="0050473F"/>
    <w:rsid w:val="00507E96"/>
    <w:rsid w:val="0051146A"/>
    <w:rsid w:val="005266B7"/>
    <w:rsid w:val="0057408B"/>
    <w:rsid w:val="005B3437"/>
    <w:rsid w:val="005E7483"/>
    <w:rsid w:val="006A1203"/>
    <w:rsid w:val="006A269A"/>
    <w:rsid w:val="006F6D56"/>
    <w:rsid w:val="00712A23"/>
    <w:rsid w:val="00736113"/>
    <w:rsid w:val="007361C5"/>
    <w:rsid w:val="007578BF"/>
    <w:rsid w:val="00790707"/>
    <w:rsid w:val="007E5A4B"/>
    <w:rsid w:val="007E69F0"/>
    <w:rsid w:val="0081260A"/>
    <w:rsid w:val="00815B93"/>
    <w:rsid w:val="00836B53"/>
    <w:rsid w:val="00857111"/>
    <w:rsid w:val="00870F38"/>
    <w:rsid w:val="008D59D0"/>
    <w:rsid w:val="008D63FF"/>
    <w:rsid w:val="008E674F"/>
    <w:rsid w:val="008E7221"/>
    <w:rsid w:val="00905388"/>
    <w:rsid w:val="009C0F40"/>
    <w:rsid w:val="00A04754"/>
    <w:rsid w:val="00A053EB"/>
    <w:rsid w:val="00A57749"/>
    <w:rsid w:val="00AA62EE"/>
    <w:rsid w:val="00AC7AD1"/>
    <w:rsid w:val="00AF4DBD"/>
    <w:rsid w:val="00B145F0"/>
    <w:rsid w:val="00B255E8"/>
    <w:rsid w:val="00B94E29"/>
    <w:rsid w:val="00C01C74"/>
    <w:rsid w:val="00C04FBD"/>
    <w:rsid w:val="00C63E0A"/>
    <w:rsid w:val="00C8452C"/>
    <w:rsid w:val="00CB3C84"/>
    <w:rsid w:val="00D13429"/>
    <w:rsid w:val="00D37C82"/>
    <w:rsid w:val="00D739C9"/>
    <w:rsid w:val="00D851AA"/>
    <w:rsid w:val="00DB1789"/>
    <w:rsid w:val="00DB3EAD"/>
    <w:rsid w:val="00DC6E6E"/>
    <w:rsid w:val="00DF21DA"/>
    <w:rsid w:val="00E06C2D"/>
    <w:rsid w:val="00E51308"/>
    <w:rsid w:val="00E55EF7"/>
    <w:rsid w:val="00E6238F"/>
    <w:rsid w:val="00E75A9D"/>
    <w:rsid w:val="00E9115E"/>
    <w:rsid w:val="00EC7B12"/>
    <w:rsid w:val="00EE19BC"/>
    <w:rsid w:val="00F0073D"/>
    <w:rsid w:val="00F0370E"/>
    <w:rsid w:val="00F136A8"/>
    <w:rsid w:val="00F738E8"/>
    <w:rsid w:val="00F75C7C"/>
    <w:rsid w:val="00F84EDD"/>
    <w:rsid w:val="00F86BEA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C9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4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4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73F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1C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1C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C9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4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4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73F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1C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1C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DF7DD-0E0E-4FFE-AB49-297D0AB12BD5}"/>
</file>

<file path=customXml/itemProps2.xml><?xml version="1.0" encoding="utf-8"?>
<ds:datastoreItem xmlns:ds="http://schemas.openxmlformats.org/officeDocument/2006/customXml" ds:itemID="{0B2D732F-2E2B-4A96-9D63-B69AE1BF9C83}"/>
</file>

<file path=customXml/itemProps3.xml><?xml version="1.0" encoding="utf-8"?>
<ds:datastoreItem xmlns:ds="http://schemas.openxmlformats.org/officeDocument/2006/customXml" ds:itemID="{05B9A15F-0C46-4C16-87EA-153AC8E45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Romanian implementation planning -DCC</dc:title>
  <dc:creator>Diana Paunescu</dc:creator>
  <cp:lastModifiedBy>Doina Mirela Dutoiu</cp:lastModifiedBy>
  <cp:revision>2</cp:revision>
  <cp:lastPrinted>2016-12-08T06:22:00Z</cp:lastPrinted>
  <dcterms:created xsi:type="dcterms:W3CDTF">2016-12-08T09:37:00Z</dcterms:created>
  <dcterms:modified xsi:type="dcterms:W3CDTF">2016-12-08T09:37:00Z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262;#Transelectrica|1c33e578-4e22-4036-80d5-8449a310f9f0</vt:lpwstr>
  </property>
  <property fmtid="{D5CDD505-2E9C-101B-9397-08002B2CF9AE}" pid="4" name="Country">
    <vt:lpwstr>261;#RO|ee2d2877-c53c-4950-815d-a5d23bdabafd</vt:lpwstr>
  </property>
  <property fmtid="{D5CDD505-2E9C-101B-9397-08002B2CF9AE}" pid="5" name="Synchronus area">
    <vt:lpwstr/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</vt:lpwstr>
  </property>
</Properties>
</file>