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p>
    <w:p w14:paraId="1D3C1A3A" w14:textId="4A6B6D73" w:rsidR="00784FA8" w:rsidRDefault="00784FA8" w:rsidP="00C404FC">
      <w:pPr>
        <w:pStyle w:val="Blocksatz"/>
        <w:rPr>
          <w:noProof/>
          <w:lang w:eastAsia="de-DE"/>
        </w:rPr>
      </w:pP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de-DE" w:eastAsia="de-DE"/>
        </w:rPr>
        <mc:AlternateContent>
          <mc:Choice Requires="wps">
            <w:drawing>
              <wp:anchor distT="0" distB="0" distL="114300" distR="114300" simplePos="0" relativeHeight="251660296"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4C477769" w:rsidR="00597392" w:rsidRPr="006A1DCE" w:rsidRDefault="003D6C35" w:rsidP="000868F9">
                                      <w:pPr>
                                        <w:pStyle w:val="Deckblatt-Titel"/>
                                      </w:pPr>
                                      <w:r w:rsidRPr="003D6C35">
                                        <w:t xml:space="preserve">Joint operation between the Western Danish and Swedish subsystems on the </w:t>
                                      </w:r>
                                      <w:proofErr w:type="spellStart"/>
                                      <w:r w:rsidRPr="003D6C35">
                                        <w:t>Konti-Skan</w:t>
                                      </w:r>
                                      <w:proofErr w:type="spellEnd"/>
                                      <w:r w:rsidRPr="003D6C35">
                                        <w:t xml:space="preserve"> 1 and 2 DC links</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0DC47F1C" w14:textId="008D6BB1" w:rsidR="000139F7" w:rsidRDefault="000139F7" w:rsidP="000139F7">
                                  <w:pPr>
                                    <w:pStyle w:val="Deckblatt-Untertitel"/>
                                  </w:pPr>
                                  <w:r>
                                    <w:t>Appendix 5 to SOA Annex OS</w:t>
                                  </w:r>
                                  <w:r w:rsidR="009E32C7">
                                    <w:t xml:space="preserve"> (DK1 and SE)</w:t>
                                  </w:r>
                                </w:p>
                                <w:p w14:paraId="13FF5F89" w14:textId="2982E8D4" w:rsidR="00597392" w:rsidRPr="006A1DCE" w:rsidRDefault="00597392" w:rsidP="000139F7">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de-DE" w:eastAsia="de-D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de-DE" w:eastAsia="de-D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de-DE" w:eastAsia="de-D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de-DE" w:eastAsia="de-D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60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4C477769" w:rsidR="00597392" w:rsidRPr="006A1DCE" w:rsidRDefault="003D6C35" w:rsidP="000868F9">
                                <w:pPr>
                                  <w:pStyle w:val="Deckblatt-Titel"/>
                                </w:pPr>
                                <w:r w:rsidRPr="003D6C35">
                                  <w:t xml:space="preserve">Joint operation between the Western Danish and Swedish subsystems on the </w:t>
                                </w:r>
                                <w:proofErr w:type="spellStart"/>
                                <w:r w:rsidRPr="003D6C35">
                                  <w:t>Konti-Skan</w:t>
                                </w:r>
                                <w:proofErr w:type="spellEnd"/>
                                <w:r w:rsidRPr="003D6C35">
                                  <w:t xml:space="preserve"> 1 and 2 DC links</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0DC47F1C" w14:textId="008D6BB1" w:rsidR="000139F7" w:rsidRDefault="000139F7" w:rsidP="000139F7">
                            <w:pPr>
                              <w:pStyle w:val="Deckblatt-Untertitel"/>
                            </w:pPr>
                            <w:r>
                              <w:t>Appendix 5 to SOA Annex OS</w:t>
                            </w:r>
                            <w:r w:rsidR="009E32C7">
                              <w:t xml:space="preserve"> (DK1 and SE)</w:t>
                            </w:r>
                          </w:p>
                          <w:p w14:paraId="13FF5F89" w14:textId="2982E8D4" w:rsidR="00597392" w:rsidRPr="006A1DCE" w:rsidRDefault="00597392" w:rsidP="000139F7">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de-DE" w:eastAsia="de-D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de-DE" w:eastAsia="de-D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de-DE" w:eastAsia="de-D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de-DE" w:eastAsia="de-D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868F9" w:rsidRPr="00307C1D" w14:paraId="49F6E742" w14:textId="77777777" w:rsidTr="007B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nil"/>
            </w:tcBorders>
          </w:tcPr>
          <w:p w14:paraId="200B4FDE" w14:textId="2B6C1CFD" w:rsidR="000868F9" w:rsidRPr="00F3481A" w:rsidRDefault="00F3481A" w:rsidP="006435AC">
            <w:pPr>
              <w:rPr>
                <w:rStyle w:val="Sterk"/>
                <w:bCs/>
                <w:szCs w:val="20"/>
              </w:rPr>
            </w:pPr>
            <w:r>
              <w:rPr>
                <w:rStyle w:val="Sterk"/>
                <w:bCs/>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Borders>
              <w:bottom w:val="single" w:sz="4" w:space="0" w:color="auto"/>
            </w:tcBorders>
          </w:tcPr>
          <w:p w14:paraId="6D03C0ED" w14:textId="0483958B" w:rsidR="000868F9" w:rsidRPr="00307C1D" w:rsidRDefault="00F3481A" w:rsidP="006435AC">
            <w:pPr>
              <w:rPr>
                <w:rStyle w:val="Sterk"/>
                <w:b w:val="0"/>
                <w:szCs w:val="20"/>
              </w:rPr>
            </w:pPr>
            <w:r>
              <w:rPr>
                <w:rStyle w:val="Sterk"/>
                <w:b w:val="0"/>
                <w:szCs w:val="20"/>
              </w:rPr>
              <w:t>20</w:t>
            </w:r>
            <w:r w:rsidR="008623C7">
              <w:rPr>
                <w:rStyle w:val="Sterk"/>
                <w:b w:val="0"/>
                <w:szCs w:val="20"/>
              </w:rPr>
              <w:t>22-06-22</w:t>
            </w:r>
          </w:p>
        </w:tc>
        <w:tc>
          <w:tcPr>
            <w:tcW w:w="3827" w:type="dxa"/>
            <w:tcBorders>
              <w:left w:val="nil"/>
              <w:bottom w:val="single" w:sz="4" w:space="0" w:color="auto"/>
            </w:tcBorders>
          </w:tcPr>
          <w:p w14:paraId="440D36AA" w14:textId="74D3760A" w:rsidR="000868F9" w:rsidRPr="00BD7950" w:rsidRDefault="00A83FDB"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r>
              <w:rPr>
                <w:rStyle w:val="Sterk"/>
                <w:b w:val="0"/>
                <w:szCs w:val="20"/>
              </w:rPr>
              <w:t>Initial version based on old SOA</w:t>
            </w:r>
          </w:p>
        </w:tc>
      </w:tr>
      <w:tr w:rsidR="000868F9" w:rsidRPr="00BD7950" w14:paraId="231002B0" w14:textId="77777777" w:rsidTr="007B78EF">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nil"/>
            </w:tcBorders>
          </w:tcPr>
          <w:p w14:paraId="20129E1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bottom w:val="single" w:sz="4" w:space="0" w:color="auto"/>
            </w:tcBorders>
          </w:tcPr>
          <w:p w14:paraId="05481E18" w14:textId="77777777" w:rsidR="000868F9" w:rsidRPr="00BD7950" w:rsidRDefault="000868F9" w:rsidP="006435AC">
            <w:pPr>
              <w:rPr>
                <w:rStyle w:val="Sterk"/>
                <w:b w:val="0"/>
                <w:szCs w:val="20"/>
              </w:rPr>
            </w:pPr>
          </w:p>
        </w:tc>
        <w:tc>
          <w:tcPr>
            <w:tcW w:w="3827" w:type="dxa"/>
            <w:tcBorders>
              <w:top w:val="single" w:sz="4" w:space="0" w:color="auto"/>
              <w:left w:val="nil"/>
              <w:bottom w:val="single" w:sz="4" w:space="0" w:color="auto"/>
            </w:tcBorders>
          </w:tcPr>
          <w:p w14:paraId="3AB73F9B"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314EED8C" w14:textId="77777777" w:rsidTr="007B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nil"/>
            </w:tcBorders>
          </w:tcPr>
          <w:p w14:paraId="3843EA9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bottom w:val="single" w:sz="4" w:space="0" w:color="auto"/>
            </w:tcBorders>
          </w:tcPr>
          <w:p w14:paraId="208A5AE0" w14:textId="77777777" w:rsidR="000868F9" w:rsidRPr="00BD7950" w:rsidRDefault="000868F9" w:rsidP="006435AC">
            <w:pPr>
              <w:rPr>
                <w:rStyle w:val="Sterk"/>
                <w:b w:val="0"/>
                <w:szCs w:val="20"/>
              </w:rPr>
            </w:pPr>
          </w:p>
        </w:tc>
        <w:tc>
          <w:tcPr>
            <w:tcW w:w="3827" w:type="dxa"/>
            <w:tcBorders>
              <w:top w:val="single" w:sz="4" w:space="0" w:color="auto"/>
              <w:left w:val="nil"/>
              <w:bottom w:val="single" w:sz="4" w:space="0" w:color="auto"/>
            </w:tcBorders>
          </w:tcPr>
          <w:p w14:paraId="76CCFE91"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2501D065" w14:textId="77777777" w:rsidTr="007B78EF">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nil"/>
            </w:tcBorders>
          </w:tcPr>
          <w:p w14:paraId="3BFBEAD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bottom w:val="single" w:sz="4" w:space="0" w:color="auto"/>
            </w:tcBorders>
          </w:tcPr>
          <w:p w14:paraId="4A6D829D" w14:textId="77777777" w:rsidR="000868F9" w:rsidRPr="00BD7950" w:rsidRDefault="000868F9" w:rsidP="006435AC">
            <w:pPr>
              <w:rPr>
                <w:rStyle w:val="Sterk"/>
                <w:b w:val="0"/>
                <w:szCs w:val="20"/>
              </w:rPr>
            </w:pPr>
          </w:p>
        </w:tc>
        <w:tc>
          <w:tcPr>
            <w:tcW w:w="3827" w:type="dxa"/>
            <w:tcBorders>
              <w:top w:val="single" w:sz="4" w:space="0" w:color="auto"/>
              <w:left w:val="nil"/>
              <w:bottom w:val="single" w:sz="4" w:space="0" w:color="auto"/>
            </w:tcBorders>
          </w:tcPr>
          <w:p w14:paraId="66389D92"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64213F02" w14:textId="77777777" w:rsidTr="007B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nil"/>
            </w:tcBorders>
          </w:tcPr>
          <w:p w14:paraId="51A46AD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bottom w:val="single" w:sz="4" w:space="0" w:color="auto"/>
            </w:tcBorders>
          </w:tcPr>
          <w:p w14:paraId="2BA28947" w14:textId="77777777" w:rsidR="000868F9" w:rsidRPr="00BD7950" w:rsidRDefault="000868F9" w:rsidP="006435AC">
            <w:pPr>
              <w:rPr>
                <w:rStyle w:val="Sterk"/>
                <w:b w:val="0"/>
                <w:szCs w:val="20"/>
              </w:rPr>
            </w:pPr>
          </w:p>
        </w:tc>
        <w:tc>
          <w:tcPr>
            <w:tcW w:w="3827" w:type="dxa"/>
            <w:tcBorders>
              <w:top w:val="single" w:sz="4" w:space="0" w:color="auto"/>
              <w:left w:val="nil"/>
              <w:bottom w:val="single" w:sz="4" w:space="0" w:color="auto"/>
            </w:tcBorders>
          </w:tcPr>
          <w:p w14:paraId="157928DC"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6E3FB52A" w14:textId="77777777" w:rsidTr="007B78EF">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right w:val="nil"/>
            </w:tcBorders>
          </w:tcPr>
          <w:p w14:paraId="6A7B2DAE"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bottom w:val="single" w:sz="4" w:space="0" w:color="auto"/>
            </w:tcBorders>
          </w:tcPr>
          <w:p w14:paraId="12945304" w14:textId="77777777" w:rsidR="000868F9" w:rsidRPr="00BD7950" w:rsidRDefault="000868F9" w:rsidP="006435AC">
            <w:pPr>
              <w:rPr>
                <w:rStyle w:val="Sterk"/>
                <w:b w:val="0"/>
                <w:szCs w:val="20"/>
              </w:rPr>
            </w:pPr>
          </w:p>
        </w:tc>
        <w:tc>
          <w:tcPr>
            <w:tcW w:w="3827" w:type="dxa"/>
            <w:tcBorders>
              <w:top w:val="single" w:sz="4" w:space="0" w:color="auto"/>
              <w:left w:val="nil"/>
              <w:bottom w:val="single" w:sz="4" w:space="0" w:color="auto"/>
            </w:tcBorders>
          </w:tcPr>
          <w:p w14:paraId="5F417C05"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5145B420" w14:textId="77777777" w:rsidTr="007B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right w:val="nil"/>
            </w:tcBorders>
          </w:tcPr>
          <w:p w14:paraId="1D15F4EF"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tcBorders>
          </w:tcPr>
          <w:p w14:paraId="6E624538" w14:textId="77777777" w:rsidR="000868F9" w:rsidRPr="00BD7950" w:rsidRDefault="000868F9" w:rsidP="006435AC">
            <w:pPr>
              <w:rPr>
                <w:rStyle w:val="Sterk"/>
                <w:b w:val="0"/>
                <w:szCs w:val="20"/>
              </w:rPr>
            </w:pPr>
          </w:p>
        </w:tc>
        <w:tc>
          <w:tcPr>
            <w:tcW w:w="3827" w:type="dxa"/>
            <w:tcBorders>
              <w:top w:val="single" w:sz="4" w:space="0" w:color="auto"/>
              <w:left w:val="nil"/>
            </w:tcBorders>
          </w:tcPr>
          <w:p w14:paraId="4B0671B9"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643AFBA3" w14:textId="77777777" w:rsidR="000868F9" w:rsidRDefault="000868F9" w:rsidP="000868F9">
      <w:pPr>
        <w:tabs>
          <w:tab w:val="left" w:pos="9660"/>
        </w:tabs>
        <w:rPr>
          <w:noProof/>
          <w:lang w:eastAsia="de-DE"/>
        </w:rPr>
      </w:pPr>
    </w:p>
    <w:p w14:paraId="751CF9D0" w14:textId="0915E849" w:rsidR="000868F9" w:rsidRPr="000868F9" w:rsidRDefault="000868F9" w:rsidP="000868F9">
      <w:pPr>
        <w:tabs>
          <w:tab w:val="left" w:pos="9660"/>
        </w:tabs>
        <w:rPr>
          <w:lang w:eastAsia="de-DE"/>
        </w:rPr>
        <w:sectPr w:rsidR="000868F9" w:rsidRPr="000868F9"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r>
        <w:rPr>
          <w:lang w:eastAsia="de-DE"/>
        </w:rPr>
        <w:tab/>
      </w:r>
    </w:p>
    <w:bookmarkStart w:id="0" w:name="_Toc54868514" w:displacedByCustomXml="next"/>
    <w:sdt>
      <w:sdtPr>
        <w:rPr>
          <w:rFonts w:ascii="Segoe UI Light" w:eastAsiaTheme="minorHAnsi" w:hAnsi="Segoe UI Light" w:cstheme="minorBidi"/>
          <w:bCs w:val="0"/>
          <w:color w:val="auto"/>
          <w:sz w:val="22"/>
          <w:szCs w:val="22"/>
          <w:lang w:val="da-DK" w:bidi="ar-SA"/>
        </w:rPr>
        <w:id w:val="-1841227756"/>
        <w:docPartObj>
          <w:docPartGallery w:val="Table of Contents"/>
          <w:docPartUnique/>
        </w:docPartObj>
      </w:sdtPr>
      <w:sdtEndPr>
        <w:rPr>
          <w:b/>
          <w:lang w:val="en-GB"/>
        </w:rPr>
      </w:sdtEndPr>
      <w:sdtContent>
        <w:p w14:paraId="4794F82D" w14:textId="6B26982B" w:rsidR="005C73D5" w:rsidRDefault="005C73D5">
          <w:pPr>
            <w:pStyle w:val="Overskriftforinnholdsfortegnelse"/>
          </w:pPr>
          <w:r>
            <w:rPr>
              <w:lang w:val="da-DK"/>
            </w:rPr>
            <w:t>Table of contents</w:t>
          </w:r>
        </w:p>
        <w:p w14:paraId="594A4671" w14:textId="2BD07AD1" w:rsidR="00E5721F" w:rsidRDefault="005C73D5">
          <w:pPr>
            <w:pStyle w:val="INNH1"/>
            <w:rPr>
              <w:rFonts w:asciiTheme="minorHAnsi" w:eastAsiaTheme="minorEastAsia" w:hAnsiTheme="minorHAnsi" w:cstheme="minorBidi"/>
              <w:b w:val="0"/>
              <w:bCs w:val="0"/>
              <w:iCs w:val="0"/>
              <w:color w:val="auto"/>
              <w:sz w:val="22"/>
              <w:szCs w:val="22"/>
              <w:lang w:val="da-DK" w:eastAsia="da-DK"/>
            </w:rPr>
          </w:pPr>
          <w:r>
            <w:fldChar w:fldCharType="begin"/>
          </w:r>
          <w:r>
            <w:instrText xml:space="preserve"> TOC \o "1-3" \h \z \u </w:instrText>
          </w:r>
          <w:r>
            <w:fldChar w:fldCharType="separate"/>
          </w:r>
          <w:hyperlink w:anchor="_Toc105769338" w:history="1">
            <w:r w:rsidR="00E5721F" w:rsidRPr="00BA3CD9">
              <w:rPr>
                <w:rStyle w:val="Hyperkobling"/>
                <w:lang w:bidi="ar-QA"/>
              </w:rPr>
              <w:t>1</w:t>
            </w:r>
            <w:r w:rsidR="00E5721F">
              <w:rPr>
                <w:rFonts w:asciiTheme="minorHAnsi" w:eastAsiaTheme="minorEastAsia" w:hAnsiTheme="minorHAnsi" w:cstheme="minorBidi"/>
                <w:b w:val="0"/>
                <w:bCs w:val="0"/>
                <w:iCs w:val="0"/>
                <w:color w:val="auto"/>
                <w:sz w:val="22"/>
                <w:szCs w:val="22"/>
                <w:lang w:val="da-DK" w:eastAsia="da-DK"/>
              </w:rPr>
              <w:tab/>
            </w:r>
            <w:r w:rsidR="00E5721F" w:rsidRPr="00BA3CD9">
              <w:rPr>
                <w:rStyle w:val="Hyperkobling"/>
                <w:lang w:bidi="ar-QA"/>
              </w:rPr>
              <w:t>Background</w:t>
            </w:r>
            <w:r w:rsidR="00E5721F">
              <w:rPr>
                <w:webHidden/>
              </w:rPr>
              <w:tab/>
            </w:r>
            <w:r w:rsidR="00E5721F">
              <w:rPr>
                <w:webHidden/>
              </w:rPr>
              <w:fldChar w:fldCharType="begin"/>
            </w:r>
            <w:r w:rsidR="00E5721F">
              <w:rPr>
                <w:webHidden/>
              </w:rPr>
              <w:instrText xml:space="preserve"> PAGEREF _Toc105769338 \h </w:instrText>
            </w:r>
            <w:r w:rsidR="00E5721F">
              <w:rPr>
                <w:webHidden/>
              </w:rPr>
            </w:r>
            <w:r w:rsidR="00E5721F">
              <w:rPr>
                <w:webHidden/>
              </w:rPr>
              <w:fldChar w:fldCharType="separate"/>
            </w:r>
            <w:r w:rsidR="00E5721F">
              <w:rPr>
                <w:webHidden/>
              </w:rPr>
              <w:t>3</w:t>
            </w:r>
            <w:r w:rsidR="00E5721F">
              <w:rPr>
                <w:webHidden/>
              </w:rPr>
              <w:fldChar w:fldCharType="end"/>
            </w:r>
          </w:hyperlink>
        </w:p>
        <w:p w14:paraId="117D47FA" w14:textId="3D48C27D" w:rsidR="00E5721F" w:rsidRDefault="00C63559">
          <w:pPr>
            <w:pStyle w:val="INNH1"/>
            <w:rPr>
              <w:rFonts w:asciiTheme="minorHAnsi" w:eastAsiaTheme="minorEastAsia" w:hAnsiTheme="minorHAnsi" w:cstheme="minorBidi"/>
              <w:b w:val="0"/>
              <w:bCs w:val="0"/>
              <w:iCs w:val="0"/>
              <w:color w:val="auto"/>
              <w:sz w:val="22"/>
              <w:szCs w:val="22"/>
              <w:lang w:val="da-DK" w:eastAsia="da-DK"/>
            </w:rPr>
          </w:pPr>
          <w:hyperlink w:anchor="_Toc105769339" w:history="1">
            <w:r w:rsidR="00E5721F" w:rsidRPr="00BA3CD9">
              <w:rPr>
                <w:rStyle w:val="Hyperkobling"/>
                <w:lang w:bidi="ar-QA"/>
              </w:rPr>
              <w:t>2</w:t>
            </w:r>
            <w:r w:rsidR="00E5721F">
              <w:rPr>
                <w:rFonts w:asciiTheme="minorHAnsi" w:eastAsiaTheme="minorEastAsia" w:hAnsiTheme="minorHAnsi" w:cstheme="minorBidi"/>
                <w:b w:val="0"/>
                <w:bCs w:val="0"/>
                <w:iCs w:val="0"/>
                <w:color w:val="auto"/>
                <w:sz w:val="22"/>
                <w:szCs w:val="22"/>
                <w:lang w:val="da-DK" w:eastAsia="da-DK"/>
              </w:rPr>
              <w:tab/>
            </w:r>
            <w:r w:rsidR="00E5721F" w:rsidRPr="00BA3CD9">
              <w:rPr>
                <w:rStyle w:val="Hyperkobling"/>
                <w:lang w:bidi="ar-QA"/>
              </w:rPr>
              <w:t>Transmission facilities linking the subsystems of Sweden – Western Denmark</w:t>
            </w:r>
            <w:r w:rsidR="00E5721F">
              <w:rPr>
                <w:webHidden/>
              </w:rPr>
              <w:tab/>
            </w:r>
            <w:r w:rsidR="00E5721F">
              <w:rPr>
                <w:webHidden/>
              </w:rPr>
              <w:fldChar w:fldCharType="begin"/>
            </w:r>
            <w:r w:rsidR="00E5721F">
              <w:rPr>
                <w:webHidden/>
              </w:rPr>
              <w:instrText xml:space="preserve"> PAGEREF _Toc105769339 \h </w:instrText>
            </w:r>
            <w:r w:rsidR="00E5721F">
              <w:rPr>
                <w:webHidden/>
              </w:rPr>
            </w:r>
            <w:r w:rsidR="00E5721F">
              <w:rPr>
                <w:webHidden/>
              </w:rPr>
              <w:fldChar w:fldCharType="separate"/>
            </w:r>
            <w:r w:rsidR="00E5721F">
              <w:rPr>
                <w:webHidden/>
              </w:rPr>
              <w:t>3</w:t>
            </w:r>
            <w:r w:rsidR="00E5721F">
              <w:rPr>
                <w:webHidden/>
              </w:rPr>
              <w:fldChar w:fldCharType="end"/>
            </w:r>
          </w:hyperlink>
        </w:p>
        <w:p w14:paraId="0E3EFD04" w14:textId="11E6C303" w:rsidR="00E5721F" w:rsidRDefault="00C63559">
          <w:pPr>
            <w:pStyle w:val="INNH1"/>
            <w:rPr>
              <w:rFonts w:asciiTheme="minorHAnsi" w:eastAsiaTheme="minorEastAsia" w:hAnsiTheme="minorHAnsi" w:cstheme="minorBidi"/>
              <w:b w:val="0"/>
              <w:bCs w:val="0"/>
              <w:iCs w:val="0"/>
              <w:color w:val="auto"/>
              <w:sz w:val="22"/>
              <w:szCs w:val="22"/>
              <w:lang w:val="da-DK" w:eastAsia="da-DK"/>
            </w:rPr>
          </w:pPr>
          <w:hyperlink w:anchor="_Toc105769340" w:history="1">
            <w:r w:rsidR="00E5721F" w:rsidRPr="00BA3CD9">
              <w:rPr>
                <w:rStyle w:val="Hyperkobling"/>
                <w:lang w:bidi="ar-QA"/>
              </w:rPr>
              <w:t>3</w:t>
            </w:r>
            <w:r w:rsidR="00E5721F">
              <w:rPr>
                <w:rFonts w:asciiTheme="minorHAnsi" w:eastAsiaTheme="minorEastAsia" w:hAnsiTheme="minorHAnsi" w:cstheme="minorBidi"/>
                <w:b w:val="0"/>
                <w:bCs w:val="0"/>
                <w:iCs w:val="0"/>
                <w:color w:val="auto"/>
                <w:sz w:val="22"/>
                <w:szCs w:val="22"/>
                <w:lang w:val="da-DK" w:eastAsia="da-DK"/>
              </w:rPr>
              <w:tab/>
            </w:r>
            <w:r w:rsidR="00E5721F" w:rsidRPr="00BA3CD9">
              <w:rPr>
                <w:rStyle w:val="Hyperkobling"/>
                <w:lang w:bidi="ar-QA"/>
              </w:rPr>
              <w:t>Electrical safety for facilities</w:t>
            </w:r>
            <w:r w:rsidR="00E5721F">
              <w:rPr>
                <w:webHidden/>
              </w:rPr>
              <w:tab/>
            </w:r>
            <w:r w:rsidR="00E5721F">
              <w:rPr>
                <w:webHidden/>
              </w:rPr>
              <w:fldChar w:fldCharType="begin"/>
            </w:r>
            <w:r w:rsidR="00E5721F">
              <w:rPr>
                <w:webHidden/>
              </w:rPr>
              <w:instrText xml:space="preserve"> PAGEREF _Toc105769340 \h </w:instrText>
            </w:r>
            <w:r w:rsidR="00E5721F">
              <w:rPr>
                <w:webHidden/>
              </w:rPr>
            </w:r>
            <w:r w:rsidR="00E5721F">
              <w:rPr>
                <w:webHidden/>
              </w:rPr>
              <w:fldChar w:fldCharType="separate"/>
            </w:r>
            <w:r w:rsidR="00E5721F">
              <w:rPr>
                <w:webHidden/>
              </w:rPr>
              <w:t>3</w:t>
            </w:r>
            <w:r w:rsidR="00E5721F">
              <w:rPr>
                <w:webHidden/>
              </w:rPr>
              <w:fldChar w:fldCharType="end"/>
            </w:r>
          </w:hyperlink>
        </w:p>
        <w:p w14:paraId="217D48F6" w14:textId="34579028"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41" w:history="1">
            <w:r w:rsidR="00E5721F" w:rsidRPr="00BA3CD9">
              <w:rPr>
                <w:rStyle w:val="Hyperkobling"/>
                <w:iCs/>
                <w:lang w:bidi="ar-QA"/>
              </w:rPr>
              <w:t>3.1</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iCs/>
                <w:lang w:bidi="ar-QA"/>
              </w:rPr>
              <w:t>General</w:t>
            </w:r>
            <w:r w:rsidR="00E5721F">
              <w:rPr>
                <w:webHidden/>
              </w:rPr>
              <w:tab/>
            </w:r>
            <w:r w:rsidR="00E5721F">
              <w:rPr>
                <w:webHidden/>
              </w:rPr>
              <w:fldChar w:fldCharType="begin"/>
            </w:r>
            <w:r w:rsidR="00E5721F">
              <w:rPr>
                <w:webHidden/>
              </w:rPr>
              <w:instrText xml:space="preserve"> PAGEREF _Toc105769341 \h </w:instrText>
            </w:r>
            <w:r w:rsidR="00E5721F">
              <w:rPr>
                <w:webHidden/>
              </w:rPr>
            </w:r>
            <w:r w:rsidR="00E5721F">
              <w:rPr>
                <w:webHidden/>
              </w:rPr>
              <w:fldChar w:fldCharType="separate"/>
            </w:r>
            <w:r w:rsidR="00E5721F">
              <w:rPr>
                <w:webHidden/>
              </w:rPr>
              <w:t>3</w:t>
            </w:r>
            <w:r w:rsidR="00E5721F">
              <w:rPr>
                <w:webHidden/>
              </w:rPr>
              <w:fldChar w:fldCharType="end"/>
            </w:r>
          </w:hyperlink>
        </w:p>
        <w:p w14:paraId="5E64DC48" w14:textId="66AE02F1"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42" w:history="1">
            <w:r w:rsidR="00E5721F" w:rsidRPr="00BA3CD9">
              <w:rPr>
                <w:rStyle w:val="Hyperkobling"/>
                <w:iCs/>
                <w:lang w:bidi="ar-QA"/>
              </w:rPr>
              <w:t>3.2</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iCs/>
                <w:lang w:bidi="ar-QA"/>
              </w:rPr>
              <w:t>Responsibility for electrical operation/Operational management</w:t>
            </w:r>
            <w:r w:rsidR="00E5721F">
              <w:rPr>
                <w:webHidden/>
              </w:rPr>
              <w:tab/>
            </w:r>
            <w:r w:rsidR="00E5721F">
              <w:rPr>
                <w:webHidden/>
              </w:rPr>
              <w:fldChar w:fldCharType="begin"/>
            </w:r>
            <w:r w:rsidR="00E5721F">
              <w:rPr>
                <w:webHidden/>
              </w:rPr>
              <w:instrText xml:space="preserve"> PAGEREF _Toc105769342 \h </w:instrText>
            </w:r>
            <w:r w:rsidR="00E5721F">
              <w:rPr>
                <w:webHidden/>
              </w:rPr>
            </w:r>
            <w:r w:rsidR="00E5721F">
              <w:rPr>
                <w:webHidden/>
              </w:rPr>
              <w:fldChar w:fldCharType="separate"/>
            </w:r>
            <w:r w:rsidR="00E5721F">
              <w:rPr>
                <w:webHidden/>
              </w:rPr>
              <w:t>3</w:t>
            </w:r>
            <w:r w:rsidR="00E5721F">
              <w:rPr>
                <w:webHidden/>
              </w:rPr>
              <w:fldChar w:fldCharType="end"/>
            </w:r>
          </w:hyperlink>
        </w:p>
        <w:p w14:paraId="5E63AAF8" w14:textId="7484777E"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43" w:history="1">
            <w:r w:rsidR="00E5721F" w:rsidRPr="00BA3CD9">
              <w:rPr>
                <w:rStyle w:val="Hyperkobling"/>
                <w:lang w:bidi="ar-QA"/>
              </w:rPr>
              <w:t>3.3</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Switching responsible operator</w:t>
            </w:r>
            <w:r w:rsidR="00E5721F">
              <w:rPr>
                <w:webHidden/>
              </w:rPr>
              <w:tab/>
            </w:r>
            <w:r w:rsidR="00E5721F">
              <w:rPr>
                <w:webHidden/>
              </w:rPr>
              <w:fldChar w:fldCharType="begin"/>
            </w:r>
            <w:r w:rsidR="00E5721F">
              <w:rPr>
                <w:webHidden/>
              </w:rPr>
              <w:instrText xml:space="preserve"> PAGEREF _Toc105769343 \h </w:instrText>
            </w:r>
            <w:r w:rsidR="00E5721F">
              <w:rPr>
                <w:webHidden/>
              </w:rPr>
            </w:r>
            <w:r w:rsidR="00E5721F">
              <w:rPr>
                <w:webHidden/>
              </w:rPr>
              <w:fldChar w:fldCharType="separate"/>
            </w:r>
            <w:r w:rsidR="00E5721F">
              <w:rPr>
                <w:webHidden/>
              </w:rPr>
              <w:t>4</w:t>
            </w:r>
            <w:r w:rsidR="00E5721F">
              <w:rPr>
                <w:webHidden/>
              </w:rPr>
              <w:fldChar w:fldCharType="end"/>
            </w:r>
          </w:hyperlink>
        </w:p>
        <w:p w14:paraId="30A2CCC1" w14:textId="68B87611"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44" w:history="1">
            <w:r w:rsidR="00E5721F" w:rsidRPr="00BA3CD9">
              <w:rPr>
                <w:rStyle w:val="Hyperkobling"/>
                <w:lang w:bidi="ar-QA"/>
              </w:rPr>
              <w:t>3.4</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Operation monitoring and control in respect of electrical safety</w:t>
            </w:r>
            <w:r w:rsidR="00E5721F">
              <w:rPr>
                <w:webHidden/>
              </w:rPr>
              <w:tab/>
            </w:r>
            <w:r w:rsidR="00E5721F">
              <w:rPr>
                <w:webHidden/>
              </w:rPr>
              <w:fldChar w:fldCharType="begin"/>
            </w:r>
            <w:r w:rsidR="00E5721F">
              <w:rPr>
                <w:webHidden/>
              </w:rPr>
              <w:instrText xml:space="preserve"> PAGEREF _Toc105769344 \h </w:instrText>
            </w:r>
            <w:r w:rsidR="00E5721F">
              <w:rPr>
                <w:webHidden/>
              </w:rPr>
            </w:r>
            <w:r w:rsidR="00E5721F">
              <w:rPr>
                <w:webHidden/>
              </w:rPr>
              <w:fldChar w:fldCharType="separate"/>
            </w:r>
            <w:r w:rsidR="00E5721F">
              <w:rPr>
                <w:webHidden/>
              </w:rPr>
              <w:t>4</w:t>
            </w:r>
            <w:r w:rsidR="00E5721F">
              <w:rPr>
                <w:webHidden/>
              </w:rPr>
              <w:fldChar w:fldCharType="end"/>
            </w:r>
          </w:hyperlink>
        </w:p>
        <w:p w14:paraId="7095C7BA" w14:textId="4E660D01"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45" w:history="1">
            <w:r w:rsidR="00E5721F" w:rsidRPr="00BA3CD9">
              <w:rPr>
                <w:rStyle w:val="Hyperkobling"/>
                <w:lang w:bidi="ar-QA"/>
              </w:rPr>
              <w:t>3.5</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Switching schedule</w:t>
            </w:r>
            <w:r w:rsidR="00E5721F">
              <w:rPr>
                <w:webHidden/>
              </w:rPr>
              <w:tab/>
            </w:r>
            <w:r w:rsidR="00E5721F">
              <w:rPr>
                <w:webHidden/>
              </w:rPr>
              <w:fldChar w:fldCharType="begin"/>
            </w:r>
            <w:r w:rsidR="00E5721F">
              <w:rPr>
                <w:webHidden/>
              </w:rPr>
              <w:instrText xml:space="preserve"> PAGEREF _Toc105769345 \h </w:instrText>
            </w:r>
            <w:r w:rsidR="00E5721F">
              <w:rPr>
                <w:webHidden/>
              </w:rPr>
            </w:r>
            <w:r w:rsidR="00E5721F">
              <w:rPr>
                <w:webHidden/>
              </w:rPr>
              <w:fldChar w:fldCharType="separate"/>
            </w:r>
            <w:r w:rsidR="00E5721F">
              <w:rPr>
                <w:webHidden/>
              </w:rPr>
              <w:t>4</w:t>
            </w:r>
            <w:r w:rsidR="00E5721F">
              <w:rPr>
                <w:webHidden/>
              </w:rPr>
              <w:fldChar w:fldCharType="end"/>
            </w:r>
          </w:hyperlink>
        </w:p>
        <w:p w14:paraId="3D1C0C94" w14:textId="576BB6B2"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46" w:history="1">
            <w:r w:rsidR="00E5721F" w:rsidRPr="00BA3CD9">
              <w:rPr>
                <w:rStyle w:val="Hyperkobling"/>
                <w:lang w:bidi="ar-QA"/>
              </w:rPr>
              <w:t>3.6</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Disturbance management</w:t>
            </w:r>
            <w:r w:rsidR="00E5721F">
              <w:rPr>
                <w:webHidden/>
              </w:rPr>
              <w:tab/>
            </w:r>
            <w:r w:rsidR="00E5721F">
              <w:rPr>
                <w:webHidden/>
              </w:rPr>
              <w:fldChar w:fldCharType="begin"/>
            </w:r>
            <w:r w:rsidR="00E5721F">
              <w:rPr>
                <w:webHidden/>
              </w:rPr>
              <w:instrText xml:space="preserve"> PAGEREF _Toc105769346 \h </w:instrText>
            </w:r>
            <w:r w:rsidR="00E5721F">
              <w:rPr>
                <w:webHidden/>
              </w:rPr>
            </w:r>
            <w:r w:rsidR="00E5721F">
              <w:rPr>
                <w:webHidden/>
              </w:rPr>
              <w:fldChar w:fldCharType="separate"/>
            </w:r>
            <w:r w:rsidR="00E5721F">
              <w:rPr>
                <w:webHidden/>
              </w:rPr>
              <w:t>5</w:t>
            </w:r>
            <w:r w:rsidR="00E5721F">
              <w:rPr>
                <w:webHidden/>
              </w:rPr>
              <w:fldChar w:fldCharType="end"/>
            </w:r>
          </w:hyperlink>
        </w:p>
        <w:p w14:paraId="781B53B7" w14:textId="28A76E55" w:rsidR="00E5721F" w:rsidRDefault="00C63559">
          <w:pPr>
            <w:pStyle w:val="INNH3"/>
            <w:rPr>
              <w:rFonts w:asciiTheme="minorHAnsi" w:eastAsiaTheme="minorEastAsia" w:hAnsiTheme="minorHAnsi"/>
              <w:noProof/>
              <w:color w:val="auto"/>
              <w:sz w:val="22"/>
              <w:szCs w:val="22"/>
              <w:lang w:val="da-DK" w:eastAsia="da-DK" w:bidi="ar-SA"/>
            </w:rPr>
          </w:pPr>
          <w:hyperlink w:anchor="_Toc105769347" w:history="1">
            <w:r w:rsidR="00E5721F" w:rsidRPr="00BA3CD9">
              <w:rPr>
                <w:rStyle w:val="Hyperkobling"/>
                <w:noProof/>
              </w:rPr>
              <w:t>3.6.1</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Cross-border link trips – management</w:t>
            </w:r>
            <w:r w:rsidR="00E5721F">
              <w:rPr>
                <w:noProof/>
                <w:webHidden/>
              </w:rPr>
              <w:tab/>
            </w:r>
            <w:r w:rsidR="00E5721F">
              <w:rPr>
                <w:noProof/>
                <w:webHidden/>
              </w:rPr>
              <w:fldChar w:fldCharType="begin"/>
            </w:r>
            <w:r w:rsidR="00E5721F">
              <w:rPr>
                <w:noProof/>
                <w:webHidden/>
              </w:rPr>
              <w:instrText xml:space="preserve"> PAGEREF _Toc105769347 \h </w:instrText>
            </w:r>
            <w:r w:rsidR="00E5721F">
              <w:rPr>
                <w:noProof/>
                <w:webHidden/>
              </w:rPr>
            </w:r>
            <w:r w:rsidR="00E5721F">
              <w:rPr>
                <w:noProof/>
                <w:webHidden/>
              </w:rPr>
              <w:fldChar w:fldCharType="separate"/>
            </w:r>
            <w:r w:rsidR="00E5721F">
              <w:rPr>
                <w:noProof/>
                <w:webHidden/>
              </w:rPr>
              <w:t>5</w:t>
            </w:r>
            <w:r w:rsidR="00E5721F">
              <w:rPr>
                <w:noProof/>
                <w:webHidden/>
              </w:rPr>
              <w:fldChar w:fldCharType="end"/>
            </w:r>
          </w:hyperlink>
        </w:p>
        <w:p w14:paraId="4B679E66" w14:textId="47CD2AFA" w:rsidR="00E5721F" w:rsidRDefault="00C63559">
          <w:pPr>
            <w:pStyle w:val="INNH3"/>
            <w:rPr>
              <w:rFonts w:asciiTheme="minorHAnsi" w:eastAsiaTheme="minorEastAsia" w:hAnsiTheme="minorHAnsi"/>
              <w:noProof/>
              <w:color w:val="auto"/>
              <w:sz w:val="22"/>
              <w:szCs w:val="22"/>
              <w:lang w:val="da-DK" w:eastAsia="da-DK" w:bidi="ar-SA"/>
            </w:rPr>
          </w:pPr>
          <w:hyperlink w:anchor="_Toc105769348" w:history="1">
            <w:r w:rsidR="00E5721F" w:rsidRPr="00BA3CD9">
              <w:rPr>
                <w:rStyle w:val="Hyperkobling"/>
                <w:noProof/>
              </w:rPr>
              <w:t>3.6.2</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Switching schedule</w:t>
            </w:r>
            <w:r w:rsidR="00E5721F">
              <w:rPr>
                <w:noProof/>
                <w:webHidden/>
              </w:rPr>
              <w:tab/>
            </w:r>
            <w:r w:rsidR="00E5721F">
              <w:rPr>
                <w:noProof/>
                <w:webHidden/>
              </w:rPr>
              <w:fldChar w:fldCharType="begin"/>
            </w:r>
            <w:r w:rsidR="00E5721F">
              <w:rPr>
                <w:noProof/>
                <w:webHidden/>
              </w:rPr>
              <w:instrText xml:space="preserve"> PAGEREF _Toc105769348 \h </w:instrText>
            </w:r>
            <w:r w:rsidR="00E5721F">
              <w:rPr>
                <w:noProof/>
                <w:webHidden/>
              </w:rPr>
            </w:r>
            <w:r w:rsidR="00E5721F">
              <w:rPr>
                <w:noProof/>
                <w:webHidden/>
              </w:rPr>
              <w:fldChar w:fldCharType="separate"/>
            </w:r>
            <w:r w:rsidR="00E5721F">
              <w:rPr>
                <w:noProof/>
                <w:webHidden/>
              </w:rPr>
              <w:t>5</w:t>
            </w:r>
            <w:r w:rsidR="00E5721F">
              <w:rPr>
                <w:noProof/>
                <w:webHidden/>
              </w:rPr>
              <w:fldChar w:fldCharType="end"/>
            </w:r>
          </w:hyperlink>
        </w:p>
        <w:p w14:paraId="61347FE7" w14:textId="644E4202" w:rsidR="00E5721F" w:rsidRDefault="00C63559">
          <w:pPr>
            <w:pStyle w:val="INNH3"/>
            <w:rPr>
              <w:rFonts w:asciiTheme="minorHAnsi" w:eastAsiaTheme="minorEastAsia" w:hAnsiTheme="minorHAnsi"/>
              <w:noProof/>
              <w:color w:val="auto"/>
              <w:sz w:val="22"/>
              <w:szCs w:val="22"/>
              <w:lang w:val="da-DK" w:eastAsia="da-DK" w:bidi="ar-SA"/>
            </w:rPr>
          </w:pPr>
          <w:hyperlink w:anchor="_Toc105769349" w:history="1">
            <w:r w:rsidR="00E5721F" w:rsidRPr="00BA3CD9">
              <w:rPr>
                <w:rStyle w:val="Hyperkobling"/>
                <w:noProof/>
              </w:rPr>
              <w:t>3.6.3</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Fault finding</w:t>
            </w:r>
            <w:r w:rsidR="00E5721F">
              <w:rPr>
                <w:noProof/>
                <w:webHidden/>
              </w:rPr>
              <w:tab/>
            </w:r>
            <w:r w:rsidR="00E5721F">
              <w:rPr>
                <w:noProof/>
                <w:webHidden/>
              </w:rPr>
              <w:fldChar w:fldCharType="begin"/>
            </w:r>
            <w:r w:rsidR="00E5721F">
              <w:rPr>
                <w:noProof/>
                <w:webHidden/>
              </w:rPr>
              <w:instrText xml:space="preserve"> PAGEREF _Toc105769349 \h </w:instrText>
            </w:r>
            <w:r w:rsidR="00E5721F">
              <w:rPr>
                <w:noProof/>
                <w:webHidden/>
              </w:rPr>
            </w:r>
            <w:r w:rsidR="00E5721F">
              <w:rPr>
                <w:noProof/>
                <w:webHidden/>
              </w:rPr>
              <w:fldChar w:fldCharType="separate"/>
            </w:r>
            <w:r w:rsidR="00E5721F">
              <w:rPr>
                <w:noProof/>
                <w:webHidden/>
              </w:rPr>
              <w:t>5</w:t>
            </w:r>
            <w:r w:rsidR="00E5721F">
              <w:rPr>
                <w:noProof/>
                <w:webHidden/>
              </w:rPr>
              <w:fldChar w:fldCharType="end"/>
            </w:r>
          </w:hyperlink>
        </w:p>
        <w:p w14:paraId="361B9A62" w14:textId="726776A3" w:rsidR="00E5721F" w:rsidRDefault="00C63559">
          <w:pPr>
            <w:pStyle w:val="INNH3"/>
            <w:rPr>
              <w:rFonts w:asciiTheme="minorHAnsi" w:eastAsiaTheme="minorEastAsia" w:hAnsiTheme="minorHAnsi"/>
              <w:noProof/>
              <w:color w:val="auto"/>
              <w:sz w:val="22"/>
              <w:szCs w:val="22"/>
              <w:lang w:val="da-DK" w:eastAsia="da-DK" w:bidi="ar-SA"/>
            </w:rPr>
          </w:pPr>
          <w:hyperlink w:anchor="_Toc105769350" w:history="1">
            <w:r w:rsidR="00E5721F" w:rsidRPr="00BA3CD9">
              <w:rPr>
                <w:rStyle w:val="Hyperkobling"/>
                <w:noProof/>
              </w:rPr>
              <w:t>3.6.4</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Fault clearance, remaining faults</w:t>
            </w:r>
            <w:r w:rsidR="00E5721F">
              <w:rPr>
                <w:noProof/>
                <w:webHidden/>
              </w:rPr>
              <w:tab/>
            </w:r>
            <w:r w:rsidR="00E5721F">
              <w:rPr>
                <w:noProof/>
                <w:webHidden/>
              </w:rPr>
              <w:fldChar w:fldCharType="begin"/>
            </w:r>
            <w:r w:rsidR="00E5721F">
              <w:rPr>
                <w:noProof/>
                <w:webHidden/>
              </w:rPr>
              <w:instrText xml:space="preserve"> PAGEREF _Toc105769350 \h </w:instrText>
            </w:r>
            <w:r w:rsidR="00E5721F">
              <w:rPr>
                <w:noProof/>
                <w:webHidden/>
              </w:rPr>
            </w:r>
            <w:r w:rsidR="00E5721F">
              <w:rPr>
                <w:noProof/>
                <w:webHidden/>
              </w:rPr>
              <w:fldChar w:fldCharType="separate"/>
            </w:r>
            <w:r w:rsidR="00E5721F">
              <w:rPr>
                <w:noProof/>
                <w:webHidden/>
              </w:rPr>
              <w:t>5</w:t>
            </w:r>
            <w:r w:rsidR="00E5721F">
              <w:rPr>
                <w:noProof/>
                <w:webHidden/>
              </w:rPr>
              <w:fldChar w:fldCharType="end"/>
            </w:r>
          </w:hyperlink>
        </w:p>
        <w:p w14:paraId="5BFE76CB" w14:textId="0014B2AF" w:rsidR="00E5721F" w:rsidRDefault="00C63559">
          <w:pPr>
            <w:pStyle w:val="INNH1"/>
            <w:rPr>
              <w:rFonts w:asciiTheme="minorHAnsi" w:eastAsiaTheme="minorEastAsia" w:hAnsiTheme="minorHAnsi" w:cstheme="minorBidi"/>
              <w:b w:val="0"/>
              <w:bCs w:val="0"/>
              <w:iCs w:val="0"/>
              <w:color w:val="auto"/>
              <w:sz w:val="22"/>
              <w:szCs w:val="22"/>
              <w:lang w:val="da-DK" w:eastAsia="da-DK"/>
            </w:rPr>
          </w:pPr>
          <w:hyperlink w:anchor="_Toc105769351" w:history="1">
            <w:r w:rsidR="00E5721F" w:rsidRPr="00BA3CD9">
              <w:rPr>
                <w:rStyle w:val="Hyperkobling"/>
                <w:lang w:bidi="ar-QA"/>
              </w:rPr>
              <w:t>4</w:t>
            </w:r>
            <w:r w:rsidR="00E5721F">
              <w:rPr>
                <w:rFonts w:asciiTheme="minorHAnsi" w:eastAsiaTheme="minorEastAsia" w:hAnsiTheme="minorHAnsi" w:cstheme="minorBidi"/>
                <w:b w:val="0"/>
                <w:bCs w:val="0"/>
                <w:iCs w:val="0"/>
                <w:color w:val="auto"/>
                <w:sz w:val="22"/>
                <w:szCs w:val="22"/>
                <w:lang w:val="da-DK" w:eastAsia="da-DK"/>
              </w:rPr>
              <w:tab/>
            </w:r>
            <w:r w:rsidR="00E5721F" w:rsidRPr="00BA3CD9">
              <w:rPr>
                <w:rStyle w:val="Hyperkobling"/>
                <w:lang w:bidi="ar-QA"/>
              </w:rPr>
              <w:t>System operation for facilities</w:t>
            </w:r>
            <w:r w:rsidR="00E5721F">
              <w:rPr>
                <w:webHidden/>
              </w:rPr>
              <w:tab/>
            </w:r>
            <w:r w:rsidR="00E5721F">
              <w:rPr>
                <w:webHidden/>
              </w:rPr>
              <w:fldChar w:fldCharType="begin"/>
            </w:r>
            <w:r w:rsidR="00E5721F">
              <w:rPr>
                <w:webHidden/>
              </w:rPr>
              <w:instrText xml:space="preserve"> PAGEREF _Toc105769351 \h </w:instrText>
            </w:r>
            <w:r w:rsidR="00E5721F">
              <w:rPr>
                <w:webHidden/>
              </w:rPr>
            </w:r>
            <w:r w:rsidR="00E5721F">
              <w:rPr>
                <w:webHidden/>
              </w:rPr>
              <w:fldChar w:fldCharType="separate"/>
            </w:r>
            <w:r w:rsidR="00E5721F">
              <w:rPr>
                <w:webHidden/>
              </w:rPr>
              <w:t>5</w:t>
            </w:r>
            <w:r w:rsidR="00E5721F">
              <w:rPr>
                <w:webHidden/>
              </w:rPr>
              <w:fldChar w:fldCharType="end"/>
            </w:r>
          </w:hyperlink>
        </w:p>
        <w:p w14:paraId="4C2037BE" w14:textId="3A43B9B9"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52" w:history="1">
            <w:r w:rsidR="00E5721F" w:rsidRPr="00BA3CD9">
              <w:rPr>
                <w:rStyle w:val="Hyperkobling"/>
                <w:lang w:bidi="ar-QA"/>
              </w:rPr>
              <w:t>4.1</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Total Transmission capacity</w:t>
            </w:r>
            <w:r w:rsidR="00E5721F">
              <w:rPr>
                <w:webHidden/>
              </w:rPr>
              <w:tab/>
            </w:r>
            <w:r w:rsidR="00E5721F">
              <w:rPr>
                <w:webHidden/>
              </w:rPr>
              <w:fldChar w:fldCharType="begin"/>
            </w:r>
            <w:r w:rsidR="00E5721F">
              <w:rPr>
                <w:webHidden/>
              </w:rPr>
              <w:instrText xml:space="preserve"> PAGEREF _Toc105769352 \h </w:instrText>
            </w:r>
            <w:r w:rsidR="00E5721F">
              <w:rPr>
                <w:webHidden/>
              </w:rPr>
            </w:r>
            <w:r w:rsidR="00E5721F">
              <w:rPr>
                <w:webHidden/>
              </w:rPr>
              <w:fldChar w:fldCharType="separate"/>
            </w:r>
            <w:r w:rsidR="00E5721F">
              <w:rPr>
                <w:webHidden/>
              </w:rPr>
              <w:t>5</w:t>
            </w:r>
            <w:r w:rsidR="00E5721F">
              <w:rPr>
                <w:webHidden/>
              </w:rPr>
              <w:fldChar w:fldCharType="end"/>
            </w:r>
          </w:hyperlink>
        </w:p>
        <w:p w14:paraId="0B074061" w14:textId="3F30C146"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53" w:history="1">
            <w:r w:rsidR="00E5721F" w:rsidRPr="00BA3CD9">
              <w:rPr>
                <w:rStyle w:val="Hyperkobling"/>
                <w:lang w:bidi="ar-QA"/>
              </w:rPr>
              <w:t>4.2</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Routines for determining the transmission capacity</w:t>
            </w:r>
            <w:r w:rsidR="00E5721F">
              <w:rPr>
                <w:webHidden/>
              </w:rPr>
              <w:tab/>
            </w:r>
            <w:r w:rsidR="00E5721F">
              <w:rPr>
                <w:webHidden/>
              </w:rPr>
              <w:fldChar w:fldCharType="begin"/>
            </w:r>
            <w:r w:rsidR="00E5721F">
              <w:rPr>
                <w:webHidden/>
              </w:rPr>
              <w:instrText xml:space="preserve"> PAGEREF _Toc105769353 \h </w:instrText>
            </w:r>
            <w:r w:rsidR="00E5721F">
              <w:rPr>
                <w:webHidden/>
              </w:rPr>
            </w:r>
            <w:r w:rsidR="00E5721F">
              <w:rPr>
                <w:webHidden/>
              </w:rPr>
              <w:fldChar w:fldCharType="separate"/>
            </w:r>
            <w:r w:rsidR="00E5721F">
              <w:rPr>
                <w:webHidden/>
              </w:rPr>
              <w:t>6</w:t>
            </w:r>
            <w:r w:rsidR="00E5721F">
              <w:rPr>
                <w:webHidden/>
              </w:rPr>
              <w:fldChar w:fldCharType="end"/>
            </w:r>
          </w:hyperlink>
        </w:p>
        <w:p w14:paraId="303D803D" w14:textId="108D12B8"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54" w:history="1">
            <w:r w:rsidR="00E5721F" w:rsidRPr="00BA3CD9">
              <w:rPr>
                <w:rStyle w:val="Hyperkobling"/>
                <w:lang w:bidi="ar-QA"/>
              </w:rPr>
              <w:t>4.3</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Trading capacity (NTC)</w:t>
            </w:r>
            <w:r w:rsidR="00E5721F">
              <w:rPr>
                <w:webHidden/>
              </w:rPr>
              <w:tab/>
            </w:r>
            <w:r w:rsidR="00E5721F">
              <w:rPr>
                <w:webHidden/>
              </w:rPr>
              <w:fldChar w:fldCharType="begin"/>
            </w:r>
            <w:r w:rsidR="00E5721F">
              <w:rPr>
                <w:webHidden/>
              </w:rPr>
              <w:instrText xml:space="preserve"> PAGEREF _Toc105769354 \h </w:instrText>
            </w:r>
            <w:r w:rsidR="00E5721F">
              <w:rPr>
                <w:webHidden/>
              </w:rPr>
            </w:r>
            <w:r w:rsidR="00E5721F">
              <w:rPr>
                <w:webHidden/>
              </w:rPr>
              <w:fldChar w:fldCharType="separate"/>
            </w:r>
            <w:r w:rsidR="00E5721F">
              <w:rPr>
                <w:webHidden/>
              </w:rPr>
              <w:t>6</w:t>
            </w:r>
            <w:r w:rsidR="00E5721F">
              <w:rPr>
                <w:webHidden/>
              </w:rPr>
              <w:fldChar w:fldCharType="end"/>
            </w:r>
          </w:hyperlink>
        </w:p>
        <w:p w14:paraId="426D6413" w14:textId="49F32721"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55" w:history="1">
            <w:r w:rsidR="00E5721F" w:rsidRPr="00BA3CD9">
              <w:rPr>
                <w:rStyle w:val="Hyperkobling"/>
                <w:lang w:bidi="ar-QA"/>
              </w:rPr>
              <w:t>4.4</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Operation monitoring and control in respect of system operation</w:t>
            </w:r>
            <w:r w:rsidR="00E5721F">
              <w:rPr>
                <w:webHidden/>
              </w:rPr>
              <w:tab/>
            </w:r>
            <w:r w:rsidR="00E5721F">
              <w:rPr>
                <w:webHidden/>
              </w:rPr>
              <w:fldChar w:fldCharType="begin"/>
            </w:r>
            <w:r w:rsidR="00E5721F">
              <w:rPr>
                <w:webHidden/>
              </w:rPr>
              <w:instrText xml:space="preserve"> PAGEREF _Toc105769355 \h </w:instrText>
            </w:r>
            <w:r w:rsidR="00E5721F">
              <w:rPr>
                <w:webHidden/>
              </w:rPr>
            </w:r>
            <w:r w:rsidR="00E5721F">
              <w:rPr>
                <w:webHidden/>
              </w:rPr>
              <w:fldChar w:fldCharType="separate"/>
            </w:r>
            <w:r w:rsidR="00E5721F">
              <w:rPr>
                <w:webHidden/>
              </w:rPr>
              <w:t>6</w:t>
            </w:r>
            <w:r w:rsidR="00E5721F">
              <w:rPr>
                <w:webHidden/>
              </w:rPr>
              <w:fldChar w:fldCharType="end"/>
            </w:r>
          </w:hyperlink>
        </w:p>
        <w:p w14:paraId="79A5046A" w14:textId="5304803A" w:rsidR="00E5721F" w:rsidRDefault="00C63559">
          <w:pPr>
            <w:pStyle w:val="INNH3"/>
            <w:rPr>
              <w:rFonts w:asciiTheme="minorHAnsi" w:eastAsiaTheme="minorEastAsia" w:hAnsiTheme="minorHAnsi"/>
              <w:noProof/>
              <w:color w:val="auto"/>
              <w:sz w:val="22"/>
              <w:szCs w:val="22"/>
              <w:lang w:val="da-DK" w:eastAsia="da-DK" w:bidi="ar-SA"/>
            </w:rPr>
          </w:pPr>
          <w:hyperlink w:anchor="_Toc105769356" w:history="1">
            <w:r w:rsidR="00E5721F" w:rsidRPr="00BA3CD9">
              <w:rPr>
                <w:rStyle w:val="Hyperkobling"/>
                <w:noProof/>
              </w:rPr>
              <w:t>4.4.1</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The power flow and distribution between the poles</w:t>
            </w:r>
            <w:r w:rsidR="00E5721F">
              <w:rPr>
                <w:noProof/>
                <w:webHidden/>
              </w:rPr>
              <w:tab/>
            </w:r>
            <w:r w:rsidR="00E5721F">
              <w:rPr>
                <w:noProof/>
                <w:webHidden/>
              </w:rPr>
              <w:fldChar w:fldCharType="begin"/>
            </w:r>
            <w:r w:rsidR="00E5721F">
              <w:rPr>
                <w:noProof/>
                <w:webHidden/>
              </w:rPr>
              <w:instrText xml:space="preserve"> PAGEREF _Toc105769356 \h </w:instrText>
            </w:r>
            <w:r w:rsidR="00E5721F">
              <w:rPr>
                <w:noProof/>
                <w:webHidden/>
              </w:rPr>
            </w:r>
            <w:r w:rsidR="00E5721F">
              <w:rPr>
                <w:noProof/>
                <w:webHidden/>
              </w:rPr>
              <w:fldChar w:fldCharType="separate"/>
            </w:r>
            <w:r w:rsidR="00E5721F">
              <w:rPr>
                <w:noProof/>
                <w:webHidden/>
              </w:rPr>
              <w:t>6</w:t>
            </w:r>
            <w:r w:rsidR="00E5721F">
              <w:rPr>
                <w:noProof/>
                <w:webHidden/>
              </w:rPr>
              <w:fldChar w:fldCharType="end"/>
            </w:r>
          </w:hyperlink>
        </w:p>
        <w:p w14:paraId="4AA75CB4" w14:textId="25B9DAA6" w:rsidR="00E5721F" w:rsidRDefault="00C63559">
          <w:pPr>
            <w:pStyle w:val="INNH3"/>
            <w:rPr>
              <w:rFonts w:asciiTheme="minorHAnsi" w:eastAsiaTheme="minorEastAsia" w:hAnsiTheme="minorHAnsi"/>
              <w:noProof/>
              <w:color w:val="auto"/>
              <w:sz w:val="22"/>
              <w:szCs w:val="22"/>
              <w:lang w:val="da-DK" w:eastAsia="da-DK" w:bidi="ar-SA"/>
            </w:rPr>
          </w:pPr>
          <w:hyperlink w:anchor="_Toc105769357" w:history="1">
            <w:r w:rsidR="00E5721F" w:rsidRPr="00BA3CD9">
              <w:rPr>
                <w:rStyle w:val="Hyperkobling"/>
                <w:noProof/>
              </w:rPr>
              <w:t>4.4.2</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Regulating the link</w:t>
            </w:r>
            <w:r w:rsidR="00E5721F">
              <w:rPr>
                <w:noProof/>
                <w:webHidden/>
              </w:rPr>
              <w:tab/>
            </w:r>
            <w:r w:rsidR="00E5721F">
              <w:rPr>
                <w:noProof/>
                <w:webHidden/>
              </w:rPr>
              <w:fldChar w:fldCharType="begin"/>
            </w:r>
            <w:r w:rsidR="00E5721F">
              <w:rPr>
                <w:noProof/>
                <w:webHidden/>
              </w:rPr>
              <w:instrText xml:space="preserve"> PAGEREF _Toc105769357 \h </w:instrText>
            </w:r>
            <w:r w:rsidR="00E5721F">
              <w:rPr>
                <w:noProof/>
                <w:webHidden/>
              </w:rPr>
            </w:r>
            <w:r w:rsidR="00E5721F">
              <w:rPr>
                <w:noProof/>
                <w:webHidden/>
              </w:rPr>
              <w:fldChar w:fldCharType="separate"/>
            </w:r>
            <w:r w:rsidR="00E5721F">
              <w:rPr>
                <w:noProof/>
                <w:webHidden/>
              </w:rPr>
              <w:t>7</w:t>
            </w:r>
            <w:r w:rsidR="00E5721F">
              <w:rPr>
                <w:noProof/>
                <w:webHidden/>
              </w:rPr>
              <w:fldChar w:fldCharType="end"/>
            </w:r>
          </w:hyperlink>
        </w:p>
        <w:p w14:paraId="119C4B85" w14:textId="5015C555"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58" w:history="1">
            <w:r w:rsidR="00E5721F" w:rsidRPr="00BA3CD9">
              <w:rPr>
                <w:rStyle w:val="Hyperkobling"/>
                <w:lang w:bidi="ar-QA"/>
              </w:rPr>
              <w:t>4.5</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Outage planning</w:t>
            </w:r>
            <w:r w:rsidR="00E5721F">
              <w:rPr>
                <w:webHidden/>
              </w:rPr>
              <w:tab/>
            </w:r>
            <w:r w:rsidR="00E5721F">
              <w:rPr>
                <w:webHidden/>
              </w:rPr>
              <w:fldChar w:fldCharType="begin"/>
            </w:r>
            <w:r w:rsidR="00E5721F">
              <w:rPr>
                <w:webHidden/>
              </w:rPr>
              <w:instrText xml:space="preserve"> PAGEREF _Toc105769358 \h </w:instrText>
            </w:r>
            <w:r w:rsidR="00E5721F">
              <w:rPr>
                <w:webHidden/>
              </w:rPr>
            </w:r>
            <w:r w:rsidR="00E5721F">
              <w:rPr>
                <w:webHidden/>
              </w:rPr>
              <w:fldChar w:fldCharType="separate"/>
            </w:r>
            <w:r w:rsidR="00E5721F">
              <w:rPr>
                <w:webHidden/>
              </w:rPr>
              <w:t>7</w:t>
            </w:r>
            <w:r w:rsidR="00E5721F">
              <w:rPr>
                <w:webHidden/>
              </w:rPr>
              <w:fldChar w:fldCharType="end"/>
            </w:r>
          </w:hyperlink>
        </w:p>
        <w:p w14:paraId="3409F6E6" w14:textId="76E7C899"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59" w:history="1">
            <w:r w:rsidR="00E5721F" w:rsidRPr="00BA3CD9">
              <w:rPr>
                <w:rStyle w:val="Hyperkobling"/>
                <w:lang w:bidi="ar-QA"/>
              </w:rPr>
              <w:t>4.6</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System protection - emergency power</w:t>
            </w:r>
            <w:r w:rsidR="00E5721F">
              <w:rPr>
                <w:webHidden/>
              </w:rPr>
              <w:tab/>
            </w:r>
            <w:r w:rsidR="00E5721F">
              <w:rPr>
                <w:webHidden/>
              </w:rPr>
              <w:fldChar w:fldCharType="begin"/>
            </w:r>
            <w:r w:rsidR="00E5721F">
              <w:rPr>
                <w:webHidden/>
              </w:rPr>
              <w:instrText xml:space="preserve"> PAGEREF _Toc105769359 \h </w:instrText>
            </w:r>
            <w:r w:rsidR="00E5721F">
              <w:rPr>
                <w:webHidden/>
              </w:rPr>
            </w:r>
            <w:r w:rsidR="00E5721F">
              <w:rPr>
                <w:webHidden/>
              </w:rPr>
              <w:fldChar w:fldCharType="separate"/>
            </w:r>
            <w:r w:rsidR="00E5721F">
              <w:rPr>
                <w:webHidden/>
              </w:rPr>
              <w:t>7</w:t>
            </w:r>
            <w:r w:rsidR="00E5721F">
              <w:rPr>
                <w:webHidden/>
              </w:rPr>
              <w:fldChar w:fldCharType="end"/>
            </w:r>
          </w:hyperlink>
        </w:p>
        <w:p w14:paraId="7D519743" w14:textId="734CE04C" w:rsidR="00E5721F" w:rsidRDefault="00C63559">
          <w:pPr>
            <w:pStyle w:val="INNH3"/>
            <w:rPr>
              <w:rFonts w:asciiTheme="minorHAnsi" w:eastAsiaTheme="minorEastAsia" w:hAnsiTheme="minorHAnsi"/>
              <w:noProof/>
              <w:color w:val="auto"/>
              <w:sz w:val="22"/>
              <w:szCs w:val="22"/>
              <w:lang w:val="da-DK" w:eastAsia="da-DK" w:bidi="ar-SA"/>
            </w:rPr>
          </w:pPr>
          <w:hyperlink w:anchor="_Toc105769360" w:history="1">
            <w:r w:rsidR="00E5721F" w:rsidRPr="00BA3CD9">
              <w:rPr>
                <w:rStyle w:val="Hyperkobling"/>
                <w:noProof/>
              </w:rPr>
              <w:t>4.6.1</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General</w:t>
            </w:r>
            <w:r w:rsidR="00E5721F">
              <w:rPr>
                <w:noProof/>
                <w:webHidden/>
              </w:rPr>
              <w:tab/>
            </w:r>
            <w:r w:rsidR="00E5721F">
              <w:rPr>
                <w:noProof/>
                <w:webHidden/>
              </w:rPr>
              <w:fldChar w:fldCharType="begin"/>
            </w:r>
            <w:r w:rsidR="00E5721F">
              <w:rPr>
                <w:noProof/>
                <w:webHidden/>
              </w:rPr>
              <w:instrText xml:space="preserve"> PAGEREF _Toc105769360 \h </w:instrText>
            </w:r>
            <w:r w:rsidR="00E5721F">
              <w:rPr>
                <w:noProof/>
                <w:webHidden/>
              </w:rPr>
            </w:r>
            <w:r w:rsidR="00E5721F">
              <w:rPr>
                <w:noProof/>
                <w:webHidden/>
              </w:rPr>
              <w:fldChar w:fldCharType="separate"/>
            </w:r>
            <w:r w:rsidR="00E5721F">
              <w:rPr>
                <w:noProof/>
                <w:webHidden/>
              </w:rPr>
              <w:t>7</w:t>
            </w:r>
            <w:r w:rsidR="00E5721F">
              <w:rPr>
                <w:noProof/>
                <w:webHidden/>
              </w:rPr>
              <w:fldChar w:fldCharType="end"/>
            </w:r>
          </w:hyperlink>
        </w:p>
        <w:p w14:paraId="3E24F102" w14:textId="39451E96" w:rsidR="00E5721F" w:rsidRDefault="00C63559">
          <w:pPr>
            <w:pStyle w:val="INNH3"/>
            <w:rPr>
              <w:rFonts w:asciiTheme="minorHAnsi" w:eastAsiaTheme="minorEastAsia" w:hAnsiTheme="minorHAnsi"/>
              <w:noProof/>
              <w:color w:val="auto"/>
              <w:sz w:val="22"/>
              <w:szCs w:val="22"/>
              <w:lang w:val="da-DK" w:eastAsia="da-DK" w:bidi="ar-SA"/>
            </w:rPr>
          </w:pPr>
          <w:hyperlink w:anchor="_Toc105769361" w:history="1">
            <w:r w:rsidR="00E5721F" w:rsidRPr="00BA3CD9">
              <w:rPr>
                <w:rStyle w:val="Hyperkobling"/>
                <w:noProof/>
              </w:rPr>
              <w:t>4.6.2</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Delta power control, DPC1-4</w:t>
            </w:r>
            <w:r w:rsidR="00E5721F">
              <w:rPr>
                <w:noProof/>
                <w:webHidden/>
              </w:rPr>
              <w:tab/>
            </w:r>
            <w:r w:rsidR="00E5721F">
              <w:rPr>
                <w:noProof/>
                <w:webHidden/>
              </w:rPr>
              <w:fldChar w:fldCharType="begin"/>
            </w:r>
            <w:r w:rsidR="00E5721F">
              <w:rPr>
                <w:noProof/>
                <w:webHidden/>
              </w:rPr>
              <w:instrText xml:space="preserve"> PAGEREF _Toc105769361 \h </w:instrText>
            </w:r>
            <w:r w:rsidR="00E5721F">
              <w:rPr>
                <w:noProof/>
                <w:webHidden/>
              </w:rPr>
            </w:r>
            <w:r w:rsidR="00E5721F">
              <w:rPr>
                <w:noProof/>
                <w:webHidden/>
              </w:rPr>
              <w:fldChar w:fldCharType="separate"/>
            </w:r>
            <w:r w:rsidR="00E5721F">
              <w:rPr>
                <w:noProof/>
                <w:webHidden/>
              </w:rPr>
              <w:t>7</w:t>
            </w:r>
            <w:r w:rsidR="00E5721F">
              <w:rPr>
                <w:noProof/>
                <w:webHidden/>
              </w:rPr>
              <w:fldChar w:fldCharType="end"/>
            </w:r>
          </w:hyperlink>
        </w:p>
        <w:p w14:paraId="2A3EA362" w14:textId="5AA18749" w:rsidR="00E5721F" w:rsidRDefault="00C63559">
          <w:pPr>
            <w:pStyle w:val="INNH3"/>
            <w:rPr>
              <w:rFonts w:asciiTheme="minorHAnsi" w:eastAsiaTheme="minorEastAsia" w:hAnsiTheme="minorHAnsi"/>
              <w:noProof/>
              <w:color w:val="auto"/>
              <w:sz w:val="22"/>
              <w:szCs w:val="22"/>
              <w:lang w:val="da-DK" w:eastAsia="da-DK" w:bidi="ar-SA"/>
            </w:rPr>
          </w:pPr>
          <w:hyperlink w:anchor="_Toc105769362" w:history="1">
            <w:r w:rsidR="00E5721F" w:rsidRPr="00BA3CD9">
              <w:rPr>
                <w:rStyle w:val="Hyperkobling"/>
                <w:noProof/>
              </w:rPr>
              <w:t>4.6.3</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Emergency power (EPC) and System protection</w:t>
            </w:r>
            <w:r w:rsidR="00E5721F">
              <w:rPr>
                <w:noProof/>
                <w:webHidden/>
              </w:rPr>
              <w:tab/>
            </w:r>
            <w:r w:rsidR="00E5721F">
              <w:rPr>
                <w:noProof/>
                <w:webHidden/>
              </w:rPr>
              <w:fldChar w:fldCharType="begin"/>
            </w:r>
            <w:r w:rsidR="00E5721F">
              <w:rPr>
                <w:noProof/>
                <w:webHidden/>
              </w:rPr>
              <w:instrText xml:space="preserve"> PAGEREF _Toc105769362 \h </w:instrText>
            </w:r>
            <w:r w:rsidR="00E5721F">
              <w:rPr>
                <w:noProof/>
                <w:webHidden/>
              </w:rPr>
            </w:r>
            <w:r w:rsidR="00E5721F">
              <w:rPr>
                <w:noProof/>
                <w:webHidden/>
              </w:rPr>
              <w:fldChar w:fldCharType="separate"/>
            </w:r>
            <w:r w:rsidR="00E5721F">
              <w:rPr>
                <w:noProof/>
                <w:webHidden/>
              </w:rPr>
              <w:t>8</w:t>
            </w:r>
            <w:r w:rsidR="00E5721F">
              <w:rPr>
                <w:noProof/>
                <w:webHidden/>
              </w:rPr>
              <w:fldChar w:fldCharType="end"/>
            </w:r>
          </w:hyperlink>
        </w:p>
        <w:p w14:paraId="400EAF48" w14:textId="57328E3D" w:rsidR="00E5721F" w:rsidRDefault="00C63559">
          <w:pPr>
            <w:pStyle w:val="INNH1"/>
            <w:rPr>
              <w:rFonts w:asciiTheme="minorHAnsi" w:eastAsiaTheme="minorEastAsia" w:hAnsiTheme="minorHAnsi" w:cstheme="minorBidi"/>
              <w:b w:val="0"/>
              <w:bCs w:val="0"/>
              <w:iCs w:val="0"/>
              <w:color w:val="auto"/>
              <w:sz w:val="22"/>
              <w:szCs w:val="22"/>
              <w:lang w:val="da-DK" w:eastAsia="da-DK"/>
            </w:rPr>
          </w:pPr>
          <w:hyperlink w:anchor="_Toc105769363" w:history="1">
            <w:r w:rsidR="00E5721F" w:rsidRPr="00BA3CD9">
              <w:rPr>
                <w:rStyle w:val="Hyperkobling"/>
                <w:lang w:bidi="ar-QA"/>
              </w:rPr>
              <w:t>5</w:t>
            </w:r>
            <w:r w:rsidR="00E5721F">
              <w:rPr>
                <w:rFonts w:asciiTheme="minorHAnsi" w:eastAsiaTheme="minorEastAsia" w:hAnsiTheme="minorHAnsi" w:cstheme="minorBidi"/>
                <w:b w:val="0"/>
                <w:bCs w:val="0"/>
                <w:iCs w:val="0"/>
                <w:color w:val="auto"/>
                <w:sz w:val="22"/>
                <w:szCs w:val="22"/>
                <w:lang w:val="da-DK" w:eastAsia="da-DK"/>
              </w:rPr>
              <w:tab/>
            </w:r>
            <w:r w:rsidR="00E5721F" w:rsidRPr="00BA3CD9">
              <w:rPr>
                <w:rStyle w:val="Hyperkobling"/>
                <w:lang w:bidi="ar-QA"/>
              </w:rPr>
              <w:t>Miscellaneous</w:t>
            </w:r>
            <w:r w:rsidR="00E5721F">
              <w:rPr>
                <w:webHidden/>
              </w:rPr>
              <w:tab/>
            </w:r>
            <w:r w:rsidR="00E5721F">
              <w:rPr>
                <w:webHidden/>
              </w:rPr>
              <w:fldChar w:fldCharType="begin"/>
            </w:r>
            <w:r w:rsidR="00E5721F">
              <w:rPr>
                <w:webHidden/>
              </w:rPr>
              <w:instrText xml:space="preserve"> PAGEREF _Toc105769363 \h </w:instrText>
            </w:r>
            <w:r w:rsidR="00E5721F">
              <w:rPr>
                <w:webHidden/>
              </w:rPr>
            </w:r>
            <w:r w:rsidR="00E5721F">
              <w:rPr>
                <w:webHidden/>
              </w:rPr>
              <w:fldChar w:fldCharType="separate"/>
            </w:r>
            <w:r w:rsidR="00E5721F">
              <w:rPr>
                <w:webHidden/>
              </w:rPr>
              <w:t>8</w:t>
            </w:r>
            <w:r w:rsidR="00E5721F">
              <w:rPr>
                <w:webHidden/>
              </w:rPr>
              <w:fldChar w:fldCharType="end"/>
            </w:r>
          </w:hyperlink>
        </w:p>
        <w:p w14:paraId="0E673E57" w14:textId="4828B25E" w:rsidR="00E5721F" w:rsidRDefault="00C63559">
          <w:pPr>
            <w:pStyle w:val="INNH2"/>
            <w:rPr>
              <w:rFonts w:asciiTheme="minorHAnsi" w:eastAsiaTheme="minorEastAsia" w:hAnsiTheme="minorHAnsi" w:cstheme="minorBidi"/>
              <w:b w:val="0"/>
              <w:bCs w:val="0"/>
              <w:color w:val="auto"/>
              <w:sz w:val="22"/>
              <w:szCs w:val="22"/>
              <w:lang w:val="da-DK" w:eastAsia="da-DK"/>
            </w:rPr>
          </w:pPr>
          <w:hyperlink w:anchor="_Toc105769364" w:history="1">
            <w:r w:rsidR="00E5721F" w:rsidRPr="00BA3CD9">
              <w:rPr>
                <w:rStyle w:val="Hyperkobling"/>
                <w:lang w:bidi="ar-QA"/>
              </w:rPr>
              <w:t>5.1</w:t>
            </w:r>
            <w:r w:rsidR="00E5721F">
              <w:rPr>
                <w:rFonts w:asciiTheme="minorHAnsi" w:eastAsiaTheme="minorEastAsia" w:hAnsiTheme="minorHAnsi" w:cstheme="minorBidi"/>
                <w:b w:val="0"/>
                <w:bCs w:val="0"/>
                <w:color w:val="auto"/>
                <w:sz w:val="22"/>
                <w:szCs w:val="22"/>
                <w:lang w:val="da-DK" w:eastAsia="da-DK"/>
              </w:rPr>
              <w:tab/>
            </w:r>
            <w:r w:rsidR="00E5721F" w:rsidRPr="00BA3CD9">
              <w:rPr>
                <w:rStyle w:val="Hyperkobling"/>
                <w:lang w:bidi="ar-QA"/>
              </w:rPr>
              <w:t>System services</w:t>
            </w:r>
            <w:r w:rsidR="00E5721F">
              <w:rPr>
                <w:webHidden/>
              </w:rPr>
              <w:tab/>
            </w:r>
            <w:r w:rsidR="00E5721F">
              <w:rPr>
                <w:webHidden/>
              </w:rPr>
              <w:fldChar w:fldCharType="begin"/>
            </w:r>
            <w:r w:rsidR="00E5721F">
              <w:rPr>
                <w:webHidden/>
              </w:rPr>
              <w:instrText xml:space="preserve"> PAGEREF _Toc105769364 \h </w:instrText>
            </w:r>
            <w:r w:rsidR="00E5721F">
              <w:rPr>
                <w:webHidden/>
              </w:rPr>
            </w:r>
            <w:r w:rsidR="00E5721F">
              <w:rPr>
                <w:webHidden/>
              </w:rPr>
              <w:fldChar w:fldCharType="separate"/>
            </w:r>
            <w:r w:rsidR="00E5721F">
              <w:rPr>
                <w:webHidden/>
              </w:rPr>
              <w:t>8</w:t>
            </w:r>
            <w:r w:rsidR="00E5721F">
              <w:rPr>
                <w:webHidden/>
              </w:rPr>
              <w:fldChar w:fldCharType="end"/>
            </w:r>
          </w:hyperlink>
        </w:p>
        <w:p w14:paraId="29CF59A3" w14:textId="4F6533BB" w:rsidR="00E5721F" w:rsidRDefault="00C63559">
          <w:pPr>
            <w:pStyle w:val="INNH3"/>
            <w:rPr>
              <w:rFonts w:asciiTheme="minorHAnsi" w:eastAsiaTheme="minorEastAsia" w:hAnsiTheme="minorHAnsi"/>
              <w:noProof/>
              <w:color w:val="auto"/>
              <w:sz w:val="22"/>
              <w:szCs w:val="22"/>
              <w:lang w:val="da-DK" w:eastAsia="da-DK" w:bidi="ar-SA"/>
            </w:rPr>
          </w:pPr>
          <w:hyperlink w:anchor="_Toc105769365" w:history="1">
            <w:r w:rsidR="00E5721F" w:rsidRPr="00BA3CD9">
              <w:rPr>
                <w:rStyle w:val="Hyperkobling"/>
                <w:noProof/>
              </w:rPr>
              <w:t>5.1.1</w:t>
            </w:r>
            <w:r w:rsidR="00E5721F">
              <w:rPr>
                <w:rFonts w:asciiTheme="minorHAnsi" w:eastAsiaTheme="minorEastAsia" w:hAnsiTheme="minorHAnsi"/>
                <w:noProof/>
                <w:color w:val="auto"/>
                <w:sz w:val="22"/>
                <w:szCs w:val="22"/>
                <w:lang w:val="da-DK" w:eastAsia="da-DK" w:bidi="ar-SA"/>
              </w:rPr>
              <w:tab/>
            </w:r>
            <w:r w:rsidR="00E5721F" w:rsidRPr="00BA3CD9">
              <w:rPr>
                <w:rStyle w:val="Hyperkobling"/>
                <w:noProof/>
              </w:rPr>
              <w:t>Transmission scope for operation reserves</w:t>
            </w:r>
            <w:r w:rsidR="00E5721F">
              <w:rPr>
                <w:noProof/>
                <w:webHidden/>
              </w:rPr>
              <w:tab/>
            </w:r>
            <w:r w:rsidR="00E5721F">
              <w:rPr>
                <w:noProof/>
                <w:webHidden/>
              </w:rPr>
              <w:fldChar w:fldCharType="begin"/>
            </w:r>
            <w:r w:rsidR="00E5721F">
              <w:rPr>
                <w:noProof/>
                <w:webHidden/>
              </w:rPr>
              <w:instrText xml:space="preserve"> PAGEREF _Toc105769365 \h </w:instrText>
            </w:r>
            <w:r w:rsidR="00E5721F">
              <w:rPr>
                <w:noProof/>
                <w:webHidden/>
              </w:rPr>
            </w:r>
            <w:r w:rsidR="00E5721F">
              <w:rPr>
                <w:noProof/>
                <w:webHidden/>
              </w:rPr>
              <w:fldChar w:fldCharType="separate"/>
            </w:r>
            <w:r w:rsidR="00E5721F">
              <w:rPr>
                <w:noProof/>
                <w:webHidden/>
              </w:rPr>
              <w:t>8</w:t>
            </w:r>
            <w:r w:rsidR="00E5721F">
              <w:rPr>
                <w:noProof/>
                <w:webHidden/>
              </w:rPr>
              <w:fldChar w:fldCharType="end"/>
            </w:r>
          </w:hyperlink>
        </w:p>
        <w:p w14:paraId="3901BE6C" w14:textId="12AE8760" w:rsidR="005C73D5" w:rsidRDefault="005C73D5">
          <w:r>
            <w:rPr>
              <w:b/>
              <w:bCs/>
            </w:rPr>
            <w:fldChar w:fldCharType="end"/>
          </w:r>
        </w:p>
      </w:sdtContent>
    </w:sdt>
    <w:p w14:paraId="45FF1A84" w14:textId="77777777" w:rsidR="005C73D5" w:rsidRDefault="005C73D5">
      <w:pPr>
        <w:rPr>
          <w:rFonts w:eastAsiaTheme="majorEastAsia" w:cstheme="majorBidi"/>
          <w:b/>
          <w:bCs/>
          <w:color w:val="5B7B90"/>
          <w:sz w:val="32"/>
          <w:szCs w:val="28"/>
          <w:lang w:bidi="ar-QA"/>
        </w:rPr>
      </w:pPr>
      <w:r>
        <w:br w:type="page"/>
      </w:r>
    </w:p>
    <w:p w14:paraId="5A1797FC" w14:textId="7D872E10" w:rsidR="00D2258E" w:rsidRDefault="00D2258E" w:rsidP="00EC67C1">
      <w:pPr>
        <w:pStyle w:val="Overskrift1"/>
      </w:pPr>
      <w:bookmarkStart w:id="1" w:name="_Toc105769338"/>
      <w:r>
        <w:lastRenderedPageBreak/>
        <w:t>Background</w:t>
      </w:r>
      <w:bookmarkEnd w:id="0"/>
      <w:bookmarkEnd w:id="1"/>
    </w:p>
    <w:p w14:paraId="2679D574" w14:textId="77777777" w:rsidR="003D6C35" w:rsidRPr="001C48FB" w:rsidRDefault="003D6C35" w:rsidP="003D6C35">
      <w:pPr>
        <w:pStyle w:val="Blocksatz"/>
        <w:rPr>
          <w:iCs/>
          <w:lang w:bidi="ar-QA"/>
        </w:rPr>
      </w:pPr>
      <w:r w:rsidRPr="001C48FB">
        <w:rPr>
          <w:iCs/>
          <w:lang w:bidi="ar-QA"/>
        </w:rPr>
        <w:t xml:space="preserve">The subsystems of Norway, Sweden, </w:t>
      </w:r>
      <w:proofErr w:type="gramStart"/>
      <w:r w:rsidRPr="001C48FB">
        <w:rPr>
          <w:iCs/>
          <w:lang w:bidi="ar-QA"/>
        </w:rPr>
        <w:t>Finland</w:t>
      </w:r>
      <w:proofErr w:type="gramEnd"/>
      <w:r w:rsidRPr="001C48FB">
        <w:rPr>
          <w:iCs/>
          <w:lang w:bidi="ar-QA"/>
        </w:rPr>
        <w:t xml:space="preserve"> and Eastern Denmark are synchronously interconnected. The subsystem of Western Denmark is connected to Norway, Sweden and Eastern Denmark using DC links. This Appendix describes the DC links between Sweden and Western Denmark. </w:t>
      </w:r>
    </w:p>
    <w:p w14:paraId="068E91BE" w14:textId="77777777" w:rsidR="003D6C35" w:rsidRPr="001C48FB" w:rsidRDefault="003D6C35" w:rsidP="00D2258E">
      <w:pPr>
        <w:pStyle w:val="Blocksatz"/>
        <w:rPr>
          <w:iCs/>
          <w:lang w:bidi="ar-QA"/>
        </w:rPr>
      </w:pPr>
    </w:p>
    <w:p w14:paraId="6DABBDA6" w14:textId="0ACA80AE" w:rsidR="00663348" w:rsidRPr="001C48FB" w:rsidRDefault="003D6C35" w:rsidP="00663348">
      <w:pPr>
        <w:pStyle w:val="Overskrift1"/>
        <w:rPr>
          <w:iCs/>
        </w:rPr>
      </w:pPr>
      <w:bookmarkStart w:id="2" w:name="_Toc54868515"/>
      <w:bookmarkStart w:id="3" w:name="_Toc105769339"/>
      <w:r w:rsidRPr="001C48FB">
        <w:rPr>
          <w:iCs/>
        </w:rPr>
        <w:t xml:space="preserve">Transmission facilities linking the subsystems of Sweden </w:t>
      </w:r>
      <w:r w:rsidR="00597392" w:rsidRPr="001C48FB">
        <w:rPr>
          <w:iCs/>
        </w:rPr>
        <w:t>– Western Denmark</w:t>
      </w:r>
      <w:bookmarkEnd w:id="2"/>
      <w:bookmarkEnd w:id="3"/>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207"/>
      </w:tblGrid>
      <w:tr w:rsidR="003D6C35" w:rsidRPr="001C48FB" w14:paraId="046A48C4" w14:textId="77777777" w:rsidTr="003D6C35">
        <w:tc>
          <w:tcPr>
            <w:tcW w:w="2987" w:type="dxa"/>
            <w:shd w:val="clear" w:color="auto" w:fill="auto"/>
          </w:tcPr>
          <w:p w14:paraId="31C17559" w14:textId="77777777" w:rsidR="003D6C35" w:rsidRPr="001C48FB" w:rsidRDefault="003D6C35" w:rsidP="003D6C35">
            <w:pPr>
              <w:pStyle w:val="Blocksatz"/>
              <w:rPr>
                <w:b/>
                <w:iCs/>
                <w:lang w:bidi="ar-QA"/>
              </w:rPr>
            </w:pPr>
            <w:r w:rsidRPr="001C48FB">
              <w:rPr>
                <w:b/>
                <w:iCs/>
                <w:lang w:bidi="ar-QA"/>
              </w:rPr>
              <w:t>Facility</w:t>
            </w:r>
          </w:p>
        </w:tc>
        <w:tc>
          <w:tcPr>
            <w:tcW w:w="3207" w:type="dxa"/>
            <w:shd w:val="clear" w:color="auto" w:fill="auto"/>
          </w:tcPr>
          <w:p w14:paraId="65BFA6AE" w14:textId="77777777" w:rsidR="003D6C35" w:rsidRPr="001C48FB" w:rsidRDefault="003D6C35" w:rsidP="003D6C35">
            <w:pPr>
              <w:pStyle w:val="Blocksatz"/>
              <w:rPr>
                <w:b/>
                <w:iCs/>
                <w:lang w:bidi="ar-QA"/>
              </w:rPr>
            </w:pPr>
            <w:r w:rsidRPr="001C48FB">
              <w:rPr>
                <w:b/>
                <w:iCs/>
                <w:lang w:bidi="ar-QA"/>
              </w:rPr>
              <w:t>Voltage kV</w:t>
            </w:r>
          </w:p>
        </w:tc>
      </w:tr>
      <w:tr w:rsidR="003D6C35" w:rsidRPr="001C48FB" w14:paraId="0DA6DFF7" w14:textId="77777777" w:rsidTr="003D6C35">
        <w:tc>
          <w:tcPr>
            <w:tcW w:w="2987" w:type="dxa"/>
            <w:shd w:val="clear" w:color="auto" w:fill="auto"/>
          </w:tcPr>
          <w:p w14:paraId="7C763BB9" w14:textId="77777777" w:rsidR="003D6C35" w:rsidRPr="001C48FB" w:rsidRDefault="003D6C35" w:rsidP="003D6C35">
            <w:pPr>
              <w:pStyle w:val="Blocksatz"/>
              <w:rPr>
                <w:iCs/>
                <w:lang w:val="sv-SE" w:bidi="ar-QA"/>
              </w:rPr>
            </w:pPr>
            <w:r w:rsidRPr="001C48FB">
              <w:rPr>
                <w:iCs/>
                <w:lang w:val="sv-SE" w:bidi="ar-QA"/>
              </w:rPr>
              <w:t>KS1</w:t>
            </w:r>
            <w:r w:rsidRPr="001C48FB">
              <w:rPr>
                <w:iCs/>
                <w:lang w:val="sv-SE" w:bidi="ar-QA"/>
              </w:rPr>
              <w:br/>
              <w:t>Lindome - Vester Hassing</w:t>
            </w:r>
          </w:p>
        </w:tc>
        <w:tc>
          <w:tcPr>
            <w:tcW w:w="3207" w:type="dxa"/>
            <w:shd w:val="clear" w:color="auto" w:fill="auto"/>
          </w:tcPr>
          <w:p w14:paraId="5EDE3512" w14:textId="77777777" w:rsidR="003D6C35" w:rsidRPr="001C48FB" w:rsidRDefault="003D6C35" w:rsidP="003D6C35">
            <w:pPr>
              <w:pStyle w:val="Blocksatz"/>
              <w:rPr>
                <w:iCs/>
                <w:lang w:val="sv-SE" w:bidi="ar-QA"/>
              </w:rPr>
            </w:pPr>
            <w:r w:rsidRPr="001C48FB">
              <w:rPr>
                <w:iCs/>
                <w:lang w:val="sv-SE" w:bidi="ar-QA"/>
              </w:rPr>
              <w:t>285 kV DC</w:t>
            </w:r>
          </w:p>
        </w:tc>
      </w:tr>
      <w:tr w:rsidR="003D6C35" w:rsidRPr="001C48FB" w14:paraId="6FC3B8C7" w14:textId="77777777" w:rsidTr="003D6C35">
        <w:tc>
          <w:tcPr>
            <w:tcW w:w="2987" w:type="dxa"/>
            <w:shd w:val="clear" w:color="auto" w:fill="auto"/>
          </w:tcPr>
          <w:p w14:paraId="55EAB3D6" w14:textId="77777777" w:rsidR="003D6C35" w:rsidRPr="001C48FB" w:rsidRDefault="003D6C35" w:rsidP="003D6C35">
            <w:pPr>
              <w:pStyle w:val="Blocksatz"/>
              <w:rPr>
                <w:iCs/>
                <w:lang w:val="sv-SE" w:bidi="ar-QA"/>
              </w:rPr>
            </w:pPr>
            <w:r w:rsidRPr="001C48FB">
              <w:rPr>
                <w:iCs/>
                <w:lang w:val="sv-SE" w:bidi="ar-QA"/>
              </w:rPr>
              <w:t>KS2</w:t>
            </w:r>
            <w:r w:rsidRPr="001C48FB">
              <w:rPr>
                <w:iCs/>
                <w:lang w:val="sv-SE" w:bidi="ar-QA"/>
              </w:rPr>
              <w:br/>
              <w:t>Lindome - Vester Hassing</w:t>
            </w:r>
          </w:p>
        </w:tc>
        <w:tc>
          <w:tcPr>
            <w:tcW w:w="3207" w:type="dxa"/>
            <w:shd w:val="clear" w:color="auto" w:fill="auto"/>
          </w:tcPr>
          <w:p w14:paraId="2801FFEC" w14:textId="77777777" w:rsidR="003D6C35" w:rsidRPr="001C48FB" w:rsidRDefault="003D6C35" w:rsidP="003D6C35">
            <w:pPr>
              <w:pStyle w:val="Blocksatz"/>
              <w:rPr>
                <w:iCs/>
                <w:lang w:val="sv-SE" w:bidi="ar-QA"/>
              </w:rPr>
            </w:pPr>
            <w:r w:rsidRPr="001C48FB">
              <w:rPr>
                <w:iCs/>
                <w:lang w:val="sv-SE" w:bidi="ar-QA"/>
              </w:rPr>
              <w:t>285 kV DC</w:t>
            </w:r>
          </w:p>
        </w:tc>
      </w:tr>
    </w:tbl>
    <w:p w14:paraId="15B748DD" w14:textId="3372FBDC" w:rsidR="003D6C35" w:rsidRPr="001C48FB" w:rsidRDefault="003D6C35" w:rsidP="003D6C35">
      <w:pPr>
        <w:pStyle w:val="Blocksatz"/>
        <w:rPr>
          <w:iCs/>
          <w:lang w:bidi="ar-QA"/>
        </w:rPr>
      </w:pPr>
    </w:p>
    <w:p w14:paraId="54DD22CA" w14:textId="77777777" w:rsidR="003D6C35" w:rsidRPr="001C48FB" w:rsidRDefault="003D6C35" w:rsidP="003D6C35">
      <w:pPr>
        <w:pStyle w:val="Blocksatz"/>
        <w:rPr>
          <w:iCs/>
          <w:lang w:bidi="ar-QA"/>
        </w:rPr>
      </w:pPr>
      <w:r w:rsidRPr="001C48FB">
        <w:rPr>
          <w:iCs/>
          <w:lang w:bidi="ar-QA"/>
        </w:rPr>
        <w:t xml:space="preserve">Together, KS1 and KS2 make up the </w:t>
      </w:r>
      <w:proofErr w:type="spellStart"/>
      <w:r w:rsidRPr="001C48FB">
        <w:rPr>
          <w:iCs/>
          <w:lang w:bidi="ar-QA"/>
        </w:rPr>
        <w:t>Konti-Skan</w:t>
      </w:r>
      <w:proofErr w:type="spellEnd"/>
      <w:r w:rsidRPr="001C48FB">
        <w:rPr>
          <w:iCs/>
          <w:lang w:bidi="ar-QA"/>
        </w:rPr>
        <w:t xml:space="preserve"> link.</w:t>
      </w:r>
    </w:p>
    <w:p w14:paraId="428C7E2B" w14:textId="77777777" w:rsidR="003D6C35" w:rsidRPr="001C48FB" w:rsidRDefault="003D6C35" w:rsidP="003D6C35">
      <w:pPr>
        <w:pStyle w:val="Blocksatz"/>
        <w:rPr>
          <w:iCs/>
          <w:lang w:bidi="ar-QA"/>
        </w:rPr>
      </w:pPr>
    </w:p>
    <w:p w14:paraId="22D108D8" w14:textId="77777777" w:rsidR="003D6C35" w:rsidRPr="001C48FB" w:rsidRDefault="003D6C35" w:rsidP="003D6C35">
      <w:pPr>
        <w:pStyle w:val="Blocksatz"/>
        <w:rPr>
          <w:iCs/>
          <w:lang w:bidi="ar-QA"/>
        </w:rPr>
      </w:pPr>
      <w:r w:rsidRPr="001C48FB">
        <w:rPr>
          <w:iCs/>
          <w:lang w:bidi="ar-QA"/>
        </w:rPr>
        <w:t xml:space="preserve">Settlement presently takes place on the AC side at Vester </w:t>
      </w:r>
      <w:proofErr w:type="spellStart"/>
      <w:r w:rsidRPr="001C48FB">
        <w:rPr>
          <w:iCs/>
          <w:lang w:bidi="ar-QA"/>
        </w:rPr>
        <w:t>Hassing</w:t>
      </w:r>
      <w:proofErr w:type="spellEnd"/>
      <w:r w:rsidRPr="001C48FB">
        <w:rPr>
          <w:iCs/>
          <w:lang w:bidi="ar-QA"/>
        </w:rPr>
        <w:t>.</w:t>
      </w:r>
    </w:p>
    <w:p w14:paraId="484D1C69" w14:textId="77777777" w:rsidR="003D6C35" w:rsidRPr="001C48FB" w:rsidRDefault="003D6C35" w:rsidP="003D6C35">
      <w:pPr>
        <w:pStyle w:val="Blocksatz"/>
        <w:rPr>
          <w:b/>
          <w:iCs/>
          <w:lang w:bidi="ar-QA"/>
        </w:rPr>
      </w:pPr>
    </w:p>
    <w:p w14:paraId="5147CF18" w14:textId="68B7F270" w:rsidR="003D6C35" w:rsidRPr="001C48FB" w:rsidRDefault="003D6C35" w:rsidP="003D6C35">
      <w:pPr>
        <w:pStyle w:val="Overskrift1"/>
        <w:rPr>
          <w:iCs/>
        </w:rPr>
      </w:pPr>
      <w:bookmarkStart w:id="4" w:name="_Toc54868516"/>
      <w:bookmarkStart w:id="5" w:name="_Toc105769340"/>
      <w:r w:rsidRPr="001C48FB">
        <w:rPr>
          <w:iCs/>
        </w:rPr>
        <w:t>Electrical safety for facilities</w:t>
      </w:r>
      <w:bookmarkEnd w:id="4"/>
      <w:bookmarkEnd w:id="5"/>
    </w:p>
    <w:p w14:paraId="2A894A9A" w14:textId="03A2C533" w:rsidR="003D6C35" w:rsidRPr="001C48FB" w:rsidRDefault="003D6C35" w:rsidP="003D6C35">
      <w:pPr>
        <w:pStyle w:val="Overskrift2"/>
        <w:rPr>
          <w:iCs/>
        </w:rPr>
      </w:pPr>
      <w:bookmarkStart w:id="6" w:name="_Toc54868517"/>
      <w:bookmarkStart w:id="7" w:name="_Toc105769341"/>
      <w:r w:rsidRPr="001C48FB">
        <w:rPr>
          <w:iCs/>
        </w:rPr>
        <w:t>General</w:t>
      </w:r>
      <w:bookmarkEnd w:id="6"/>
      <w:bookmarkEnd w:id="7"/>
    </w:p>
    <w:p w14:paraId="40694B02" w14:textId="607D5390" w:rsidR="003D6C35" w:rsidRPr="001C48FB" w:rsidRDefault="003D6C35" w:rsidP="003D6C35">
      <w:pPr>
        <w:pStyle w:val="Blocksatz"/>
        <w:rPr>
          <w:iCs/>
          <w:lang w:bidi="ar-QA"/>
        </w:rPr>
      </w:pPr>
      <w:r w:rsidRPr="001C48FB">
        <w:rPr>
          <w:iCs/>
          <w:lang w:bidi="ar-QA"/>
        </w:rPr>
        <w:t>The common ground for the electrical safety work of the system operator companies within the Nordic countries is constituted by the European standard for managing electrical high-voltage facilities EN 50 110 - which governs the organisation and working methods. In addition to the standard, there are national regulations and special instructions which entail certain mutual differences between the system operators as regards dealing with operational issues from an electrical safety point of view.</w:t>
      </w:r>
    </w:p>
    <w:p w14:paraId="226F5815" w14:textId="77777777" w:rsidR="003D6C35" w:rsidRPr="001C48FB" w:rsidRDefault="003D6C35" w:rsidP="003D6C35">
      <w:pPr>
        <w:pStyle w:val="Blocksatz"/>
        <w:rPr>
          <w:iCs/>
          <w:lang w:bidi="ar-QA"/>
        </w:rPr>
      </w:pPr>
    </w:p>
    <w:p w14:paraId="2492D4A1" w14:textId="6CF58B9E" w:rsidR="003D6C35" w:rsidRPr="001C48FB" w:rsidRDefault="003D6C35" w:rsidP="003D6C35">
      <w:pPr>
        <w:pStyle w:val="Overskrift2"/>
        <w:rPr>
          <w:iCs/>
        </w:rPr>
      </w:pPr>
      <w:bookmarkStart w:id="8" w:name="_Toc54868518"/>
      <w:bookmarkStart w:id="9" w:name="_Toc105769342"/>
      <w:r w:rsidRPr="001C48FB">
        <w:rPr>
          <w:iCs/>
        </w:rPr>
        <w:t>Responsibility for electrical operation/Operational management</w:t>
      </w:r>
      <w:bookmarkEnd w:id="8"/>
      <w:bookmarkEnd w:id="9"/>
    </w:p>
    <w:p w14:paraId="3A8E1AEF" w14:textId="61BFD80E" w:rsidR="003D6C35" w:rsidRPr="001C48FB" w:rsidRDefault="003D6C35" w:rsidP="003D6C35">
      <w:pPr>
        <w:pStyle w:val="Blocksatz"/>
        <w:rPr>
          <w:iCs/>
          <w:lang w:bidi="ar-QA"/>
        </w:rPr>
      </w:pPr>
      <w:r w:rsidRPr="001C48FB">
        <w:rPr>
          <w:iCs/>
          <w:lang w:bidi="ar-QA"/>
        </w:rPr>
        <w:t xml:space="preserve">The responsibility for electrical operation of the transmission facilities is held in Western Denmark by Energinet and in Sweden by Svenska </w:t>
      </w:r>
      <w:proofErr w:type="spellStart"/>
      <w:r w:rsidRPr="001C48FB">
        <w:rPr>
          <w:iCs/>
          <w:lang w:bidi="ar-QA"/>
        </w:rPr>
        <w:t>kraftnät</w:t>
      </w:r>
      <w:proofErr w:type="spellEnd"/>
      <w:r w:rsidRPr="001C48FB">
        <w:rPr>
          <w:iCs/>
          <w:lang w:bidi="ar-QA"/>
        </w:rPr>
        <w:t xml:space="preserve">. The responsibility for electrical operation is regulated by facility agreements between Energinet and Svenska </w:t>
      </w:r>
      <w:proofErr w:type="spellStart"/>
      <w:r w:rsidRPr="001C48FB">
        <w:rPr>
          <w:iCs/>
          <w:lang w:bidi="ar-QA"/>
        </w:rPr>
        <w:t>kraftnät</w:t>
      </w:r>
      <w:proofErr w:type="spellEnd"/>
      <w:r w:rsidRPr="001C48FB">
        <w:rPr>
          <w:iCs/>
          <w:lang w:bidi="ar-QA"/>
        </w:rPr>
        <w:t>.</w:t>
      </w:r>
    </w:p>
    <w:p w14:paraId="4DD18E14" w14:textId="7388D22B" w:rsidR="003D6C35" w:rsidRPr="001C48FB" w:rsidRDefault="003D6C35" w:rsidP="003D6C35">
      <w:pPr>
        <w:pStyle w:val="Blocksatz"/>
        <w:rPr>
          <w:lang w:bidi="ar-QA"/>
        </w:rPr>
      </w:pPr>
      <w:r w:rsidRPr="001C48FB">
        <w:rPr>
          <w:lang w:bidi="ar-QA"/>
        </w:rPr>
        <w:lastRenderedPageBreak/>
        <w:t xml:space="preserve">The power operation responsibility boundary between Svenska </w:t>
      </w:r>
      <w:proofErr w:type="spellStart"/>
      <w:r w:rsidRPr="001C48FB">
        <w:rPr>
          <w:lang w:bidi="ar-QA"/>
        </w:rPr>
        <w:t>kraftnät</w:t>
      </w:r>
      <w:proofErr w:type="spellEnd"/>
      <w:r w:rsidRPr="001C48FB">
        <w:rPr>
          <w:lang w:bidi="ar-QA"/>
        </w:rPr>
        <w:t xml:space="preserve"> and Energinet lies at </w:t>
      </w:r>
      <w:proofErr w:type="spellStart"/>
      <w:r w:rsidR="00896EC1" w:rsidRPr="001C48FB">
        <w:rPr>
          <w:lang w:bidi="ar-QA"/>
        </w:rPr>
        <w:t>Læsø</w:t>
      </w:r>
      <w:proofErr w:type="spellEnd"/>
      <w:r w:rsidR="00896EC1" w:rsidRPr="001C48FB">
        <w:rPr>
          <w:lang w:bidi="ar-QA"/>
        </w:rPr>
        <w:t xml:space="preserve"> </w:t>
      </w:r>
      <w:proofErr w:type="spellStart"/>
      <w:r w:rsidR="00896EC1" w:rsidRPr="001C48FB">
        <w:rPr>
          <w:lang w:bidi="ar-QA"/>
        </w:rPr>
        <w:t>Øst</w:t>
      </w:r>
      <w:proofErr w:type="spellEnd"/>
      <w:r w:rsidRPr="001C48FB">
        <w:rPr>
          <w:lang w:bidi="ar-QA"/>
        </w:rPr>
        <w:t>, at the transition between the submarine and shore-end cables.</w:t>
      </w:r>
    </w:p>
    <w:p w14:paraId="7B448295" w14:textId="77777777" w:rsidR="003D6C35" w:rsidRPr="001C48FB" w:rsidRDefault="003D6C35" w:rsidP="003D6C35">
      <w:pPr>
        <w:pStyle w:val="Blocksatz"/>
        <w:rPr>
          <w:lang w:bidi="ar-QA"/>
        </w:rPr>
      </w:pPr>
    </w:p>
    <w:p w14:paraId="0E528EDC" w14:textId="4F49628E" w:rsidR="003D6C35" w:rsidRPr="001C48FB" w:rsidRDefault="003D6C35" w:rsidP="003D6C35">
      <w:pPr>
        <w:pStyle w:val="Overskrift2"/>
      </w:pPr>
      <w:bookmarkStart w:id="10" w:name="_Toc54868519"/>
      <w:bookmarkStart w:id="11" w:name="_Toc105769343"/>
      <w:r w:rsidRPr="001C48FB">
        <w:t>Switching responsible operator</w:t>
      </w:r>
      <w:bookmarkEnd w:id="10"/>
      <w:bookmarkEnd w:id="1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3683"/>
        <w:gridCol w:w="3014"/>
      </w:tblGrid>
      <w:tr w:rsidR="003D6C35" w:rsidRPr="001C48FB" w14:paraId="6396B147" w14:textId="77777777" w:rsidTr="72BD739D">
        <w:tc>
          <w:tcPr>
            <w:tcW w:w="2480" w:type="dxa"/>
          </w:tcPr>
          <w:p w14:paraId="41369A33" w14:textId="77777777" w:rsidR="003D6C35" w:rsidRPr="001C48FB" w:rsidRDefault="003D6C35" w:rsidP="003D6C35">
            <w:pPr>
              <w:pStyle w:val="Blocksatz"/>
              <w:rPr>
                <w:b/>
                <w:lang w:bidi="ar-QA"/>
              </w:rPr>
            </w:pPr>
            <w:r w:rsidRPr="001C48FB">
              <w:rPr>
                <w:b/>
                <w:lang w:bidi="ar-QA"/>
              </w:rPr>
              <w:t>Facility</w:t>
            </w:r>
          </w:p>
        </w:tc>
        <w:tc>
          <w:tcPr>
            <w:tcW w:w="3924" w:type="dxa"/>
          </w:tcPr>
          <w:p w14:paraId="66C68066" w14:textId="77777777" w:rsidR="003D6C35" w:rsidRPr="001C48FB" w:rsidRDefault="003D6C35" w:rsidP="003D6C35">
            <w:pPr>
              <w:pStyle w:val="Blocksatz"/>
              <w:rPr>
                <w:b/>
                <w:lang w:bidi="ar-QA"/>
              </w:rPr>
            </w:pPr>
            <w:r w:rsidRPr="001C48FB">
              <w:rPr>
                <w:b/>
                <w:lang w:bidi="ar-QA"/>
              </w:rPr>
              <w:t>Swedish side</w:t>
            </w:r>
          </w:p>
        </w:tc>
        <w:tc>
          <w:tcPr>
            <w:tcW w:w="3203" w:type="dxa"/>
          </w:tcPr>
          <w:p w14:paraId="6838BC24" w14:textId="77777777" w:rsidR="003D6C35" w:rsidRPr="001C48FB" w:rsidRDefault="003D6C35" w:rsidP="003D6C35">
            <w:pPr>
              <w:pStyle w:val="Blocksatz"/>
              <w:rPr>
                <w:b/>
                <w:lang w:bidi="ar-QA"/>
              </w:rPr>
            </w:pPr>
            <w:r w:rsidRPr="001C48FB">
              <w:rPr>
                <w:b/>
                <w:lang w:bidi="ar-QA"/>
              </w:rPr>
              <w:t>Danish side</w:t>
            </w:r>
          </w:p>
        </w:tc>
      </w:tr>
      <w:tr w:rsidR="003D6C35" w:rsidRPr="001C48FB" w14:paraId="1CAF027B" w14:textId="77777777" w:rsidTr="72BD739D">
        <w:tc>
          <w:tcPr>
            <w:tcW w:w="2480" w:type="dxa"/>
          </w:tcPr>
          <w:p w14:paraId="271BE8D4" w14:textId="77777777" w:rsidR="003D6C35" w:rsidRPr="001C48FB" w:rsidRDefault="003D6C35" w:rsidP="003D6C35">
            <w:pPr>
              <w:pStyle w:val="Blocksatz"/>
              <w:rPr>
                <w:lang w:bidi="ar-QA"/>
              </w:rPr>
            </w:pPr>
            <w:proofErr w:type="spellStart"/>
            <w:r w:rsidRPr="001C48FB">
              <w:rPr>
                <w:lang w:bidi="ar-QA"/>
              </w:rPr>
              <w:t>Konti-Skan</w:t>
            </w:r>
            <w:proofErr w:type="spellEnd"/>
            <w:r w:rsidRPr="001C48FB">
              <w:rPr>
                <w:lang w:bidi="ar-QA"/>
              </w:rPr>
              <w:t xml:space="preserve"> 1</w:t>
            </w:r>
          </w:p>
        </w:tc>
        <w:tc>
          <w:tcPr>
            <w:tcW w:w="3924" w:type="dxa"/>
          </w:tcPr>
          <w:p w14:paraId="74BFE667" w14:textId="77777777" w:rsidR="003D6C35" w:rsidRPr="001C48FB" w:rsidRDefault="003D6C35" w:rsidP="003D6C35">
            <w:pPr>
              <w:pStyle w:val="Blocksatz"/>
              <w:rPr>
                <w:lang w:val="sv-SE" w:bidi="ar-QA"/>
              </w:rPr>
            </w:pPr>
            <w:r w:rsidRPr="001C48FB">
              <w:rPr>
                <w:lang w:val="sv-SE" w:bidi="ar-QA"/>
              </w:rPr>
              <w:t>Svenska kraftnät’s Operations Centre in Sundbyberg (DCSY)</w:t>
            </w:r>
          </w:p>
        </w:tc>
        <w:tc>
          <w:tcPr>
            <w:tcW w:w="3203" w:type="dxa"/>
          </w:tcPr>
          <w:p w14:paraId="00F6F203" w14:textId="4DE7BA6A" w:rsidR="003D6C35" w:rsidRPr="001C48FB" w:rsidRDefault="003D6C35" w:rsidP="003D6C35">
            <w:pPr>
              <w:pStyle w:val="Blocksatz"/>
              <w:rPr>
                <w:lang w:bidi="ar-QA"/>
              </w:rPr>
            </w:pPr>
            <w:proofErr w:type="spellStart"/>
            <w:r w:rsidRPr="001C48FB">
              <w:rPr>
                <w:lang w:bidi="ar-QA"/>
              </w:rPr>
              <w:t>Energinets</w:t>
            </w:r>
            <w:proofErr w:type="spellEnd"/>
            <w:r w:rsidRPr="001C48FB">
              <w:rPr>
                <w:lang w:bidi="ar-QA"/>
              </w:rPr>
              <w:t xml:space="preserve"> control room at Vester </w:t>
            </w:r>
            <w:proofErr w:type="spellStart"/>
            <w:r w:rsidRPr="001C48FB">
              <w:rPr>
                <w:lang w:bidi="ar-QA"/>
              </w:rPr>
              <w:t>Hassing</w:t>
            </w:r>
            <w:proofErr w:type="spellEnd"/>
          </w:p>
        </w:tc>
      </w:tr>
      <w:tr w:rsidR="003D6C35" w:rsidRPr="001C48FB" w14:paraId="2EA58C6D" w14:textId="77777777" w:rsidTr="72BD739D">
        <w:tc>
          <w:tcPr>
            <w:tcW w:w="2480" w:type="dxa"/>
          </w:tcPr>
          <w:p w14:paraId="00FEF4AB" w14:textId="77777777" w:rsidR="003D6C35" w:rsidRPr="001C48FB" w:rsidRDefault="003D6C35" w:rsidP="003D6C35">
            <w:pPr>
              <w:pStyle w:val="Blocksatz"/>
              <w:rPr>
                <w:lang w:bidi="ar-QA"/>
              </w:rPr>
            </w:pPr>
            <w:proofErr w:type="spellStart"/>
            <w:r w:rsidRPr="001C48FB">
              <w:rPr>
                <w:lang w:bidi="ar-QA"/>
              </w:rPr>
              <w:t>Konti-Skan</w:t>
            </w:r>
            <w:proofErr w:type="spellEnd"/>
            <w:r w:rsidRPr="001C48FB">
              <w:rPr>
                <w:lang w:bidi="ar-QA"/>
              </w:rPr>
              <w:t xml:space="preserve"> 2</w:t>
            </w:r>
          </w:p>
        </w:tc>
        <w:tc>
          <w:tcPr>
            <w:tcW w:w="3924" w:type="dxa"/>
          </w:tcPr>
          <w:p w14:paraId="4FFCE3C7" w14:textId="77777777" w:rsidR="003D6C35" w:rsidRPr="001C48FB" w:rsidRDefault="003D6C35" w:rsidP="003D6C35">
            <w:pPr>
              <w:pStyle w:val="Blocksatz"/>
              <w:rPr>
                <w:lang w:val="sv-SE" w:bidi="ar-QA"/>
              </w:rPr>
            </w:pPr>
            <w:r w:rsidRPr="001C48FB">
              <w:rPr>
                <w:lang w:val="sv-SE" w:bidi="ar-QA"/>
              </w:rPr>
              <w:t>Svenska kraftnät’s Operations Centre in Sundbyberg (DCSY)</w:t>
            </w:r>
          </w:p>
        </w:tc>
        <w:tc>
          <w:tcPr>
            <w:tcW w:w="3203" w:type="dxa"/>
          </w:tcPr>
          <w:p w14:paraId="33BB2C76" w14:textId="18C9A056" w:rsidR="003D6C35" w:rsidRPr="001C48FB" w:rsidRDefault="003D6C35" w:rsidP="003D6C35">
            <w:pPr>
              <w:pStyle w:val="Blocksatz"/>
              <w:rPr>
                <w:lang w:bidi="ar-QA"/>
              </w:rPr>
            </w:pPr>
            <w:proofErr w:type="spellStart"/>
            <w:r w:rsidRPr="001C48FB">
              <w:rPr>
                <w:lang w:bidi="ar-QA"/>
              </w:rPr>
              <w:t>Energinets</w:t>
            </w:r>
            <w:proofErr w:type="spellEnd"/>
            <w:r w:rsidRPr="001C48FB">
              <w:rPr>
                <w:lang w:bidi="ar-QA"/>
              </w:rPr>
              <w:t xml:space="preserve"> control room at Vester </w:t>
            </w:r>
            <w:proofErr w:type="spellStart"/>
            <w:r w:rsidRPr="001C48FB">
              <w:rPr>
                <w:lang w:bidi="ar-QA"/>
              </w:rPr>
              <w:t>Hassing</w:t>
            </w:r>
            <w:proofErr w:type="spellEnd"/>
          </w:p>
        </w:tc>
      </w:tr>
    </w:tbl>
    <w:p w14:paraId="4D56B20F" w14:textId="577FFC49" w:rsidR="003D6C35" w:rsidRPr="001C48FB" w:rsidRDefault="003D6C35" w:rsidP="003D6C35">
      <w:pPr>
        <w:pStyle w:val="Blocksatz"/>
        <w:rPr>
          <w:lang w:val="sv-SE" w:bidi="ar-QA"/>
        </w:rPr>
      </w:pPr>
    </w:p>
    <w:p w14:paraId="76288B10" w14:textId="47067680" w:rsidR="003D6C35" w:rsidRPr="001C48FB" w:rsidRDefault="003D6C35" w:rsidP="003D6C35">
      <w:pPr>
        <w:pStyle w:val="Blocksatz"/>
        <w:rPr>
          <w:lang w:bidi="ar-QA"/>
        </w:rPr>
      </w:pPr>
      <w:r w:rsidRPr="001C48FB">
        <w:rPr>
          <w:lang w:bidi="ar-QA"/>
        </w:rPr>
        <w:t xml:space="preserve">During work between </w:t>
      </w:r>
      <w:proofErr w:type="spellStart"/>
      <w:r w:rsidRPr="001C48FB">
        <w:rPr>
          <w:lang w:bidi="ar-QA"/>
        </w:rPr>
        <w:t>Lindome</w:t>
      </w:r>
      <w:proofErr w:type="spellEnd"/>
      <w:r w:rsidRPr="001C48FB">
        <w:rPr>
          <w:lang w:bidi="ar-QA"/>
        </w:rPr>
        <w:t xml:space="preserve"> and XL1-F at </w:t>
      </w:r>
      <w:proofErr w:type="spellStart"/>
      <w:r w:rsidR="00375193" w:rsidRPr="001C48FB">
        <w:rPr>
          <w:lang w:bidi="ar-QA"/>
        </w:rPr>
        <w:t>Læsø</w:t>
      </w:r>
      <w:proofErr w:type="spellEnd"/>
      <w:r w:rsidR="00375193" w:rsidRPr="001C48FB">
        <w:rPr>
          <w:lang w:bidi="ar-QA"/>
        </w:rPr>
        <w:t xml:space="preserve"> </w:t>
      </w:r>
      <w:proofErr w:type="spellStart"/>
      <w:r w:rsidR="00375193" w:rsidRPr="001C48FB">
        <w:rPr>
          <w:lang w:bidi="ar-QA"/>
        </w:rPr>
        <w:t>Øst</w:t>
      </w:r>
      <w:proofErr w:type="spellEnd"/>
      <w:r w:rsidRPr="001C48FB">
        <w:rPr>
          <w:lang w:bidi="ar-QA"/>
        </w:rPr>
        <w:t xml:space="preserve"> or </w:t>
      </w:r>
      <w:proofErr w:type="spellStart"/>
      <w:r w:rsidRPr="001C48FB">
        <w:rPr>
          <w:lang w:bidi="ar-QA"/>
        </w:rPr>
        <w:t>Lindome</w:t>
      </w:r>
      <w:proofErr w:type="spellEnd"/>
      <w:r w:rsidRPr="001C48FB">
        <w:rPr>
          <w:lang w:bidi="ar-QA"/>
        </w:rPr>
        <w:t xml:space="preserve"> and XL2-F at </w:t>
      </w:r>
      <w:proofErr w:type="spellStart"/>
      <w:r w:rsidR="00375193" w:rsidRPr="001C48FB">
        <w:rPr>
          <w:lang w:bidi="ar-QA"/>
        </w:rPr>
        <w:t>Læsø</w:t>
      </w:r>
      <w:proofErr w:type="spellEnd"/>
      <w:r w:rsidR="00375193" w:rsidRPr="001C48FB">
        <w:rPr>
          <w:lang w:bidi="ar-QA"/>
        </w:rPr>
        <w:t xml:space="preserve"> </w:t>
      </w:r>
      <w:proofErr w:type="spellStart"/>
      <w:r w:rsidR="00375193" w:rsidRPr="001C48FB">
        <w:rPr>
          <w:lang w:bidi="ar-QA"/>
        </w:rPr>
        <w:t>Øst</w:t>
      </w:r>
      <w:proofErr w:type="spellEnd"/>
      <w:r w:rsidRPr="001C48FB">
        <w:rPr>
          <w:lang w:bidi="ar-QA"/>
        </w:rPr>
        <w:t xml:space="preserve">, the Operations Centre at </w:t>
      </w:r>
      <w:proofErr w:type="spellStart"/>
      <w:r w:rsidRPr="001C48FB">
        <w:rPr>
          <w:lang w:bidi="ar-QA"/>
        </w:rPr>
        <w:t>Sundbyberg</w:t>
      </w:r>
      <w:proofErr w:type="spellEnd"/>
      <w:r w:rsidRPr="001C48FB">
        <w:rPr>
          <w:lang w:bidi="ar-QA"/>
        </w:rPr>
        <w:t xml:space="preserve"> (DCSY) shall be the power operation manager for the entire link up to Vester </w:t>
      </w:r>
      <w:proofErr w:type="spellStart"/>
      <w:r w:rsidRPr="001C48FB">
        <w:rPr>
          <w:lang w:bidi="ar-QA"/>
        </w:rPr>
        <w:t>Hassing</w:t>
      </w:r>
      <w:proofErr w:type="spellEnd"/>
      <w:r w:rsidRPr="001C48FB">
        <w:rPr>
          <w:lang w:bidi="ar-QA"/>
        </w:rPr>
        <w:t>.</w:t>
      </w:r>
    </w:p>
    <w:p w14:paraId="1E2476DF" w14:textId="41A719D9" w:rsidR="003D6C35" w:rsidRPr="001C48FB" w:rsidRDefault="003D6C35" w:rsidP="003D6C35">
      <w:pPr>
        <w:pStyle w:val="Blocksatz"/>
        <w:rPr>
          <w:lang w:bidi="ar-QA"/>
        </w:rPr>
      </w:pPr>
      <w:r w:rsidRPr="001C48FB">
        <w:rPr>
          <w:lang w:bidi="ar-QA"/>
        </w:rPr>
        <w:t xml:space="preserve">During work on the Danish parts of the link, </w:t>
      </w:r>
      <w:proofErr w:type="spellStart"/>
      <w:r w:rsidRPr="001C48FB">
        <w:rPr>
          <w:lang w:bidi="ar-QA"/>
        </w:rPr>
        <w:t>Energinets</w:t>
      </w:r>
      <w:proofErr w:type="spellEnd"/>
      <w:r w:rsidRPr="001C48FB">
        <w:rPr>
          <w:lang w:bidi="ar-QA"/>
        </w:rPr>
        <w:t xml:space="preserve"> control room at Vester </w:t>
      </w:r>
      <w:proofErr w:type="spellStart"/>
      <w:r w:rsidRPr="001C48FB">
        <w:rPr>
          <w:lang w:bidi="ar-QA"/>
        </w:rPr>
        <w:t>Hassing</w:t>
      </w:r>
      <w:proofErr w:type="spellEnd"/>
      <w:r w:rsidRPr="001C48FB">
        <w:rPr>
          <w:lang w:bidi="ar-QA"/>
        </w:rPr>
        <w:t xml:space="preserve"> is the power operation manager for the entire link up to </w:t>
      </w:r>
      <w:proofErr w:type="spellStart"/>
      <w:r w:rsidRPr="001C48FB">
        <w:rPr>
          <w:lang w:bidi="ar-QA"/>
        </w:rPr>
        <w:t>Lindome</w:t>
      </w:r>
      <w:proofErr w:type="spellEnd"/>
      <w:r w:rsidRPr="001C48FB">
        <w:rPr>
          <w:lang w:bidi="ar-QA"/>
        </w:rPr>
        <w:t>.</w:t>
      </w:r>
    </w:p>
    <w:p w14:paraId="77F10301" w14:textId="77777777" w:rsidR="003D6C35" w:rsidRPr="001C48FB" w:rsidRDefault="003D6C35" w:rsidP="003D6C35">
      <w:pPr>
        <w:pStyle w:val="Blocksatz"/>
        <w:rPr>
          <w:lang w:bidi="ar-QA"/>
        </w:rPr>
      </w:pPr>
    </w:p>
    <w:p w14:paraId="740D2DD4" w14:textId="34922D32" w:rsidR="003D6C35" w:rsidRPr="001C48FB" w:rsidRDefault="003D6C35" w:rsidP="003D6C35">
      <w:pPr>
        <w:pStyle w:val="Overskrift2"/>
      </w:pPr>
      <w:bookmarkStart w:id="12" w:name="_Toc54868520"/>
      <w:bookmarkStart w:id="13" w:name="_Toc105769344"/>
      <w:r w:rsidRPr="001C48FB">
        <w:t>Operation monitoring and control in respect of electrical safety</w:t>
      </w:r>
      <w:bookmarkEnd w:id="12"/>
      <w:bookmarkEnd w:id="13"/>
    </w:p>
    <w:p w14:paraId="091CF3A2" w14:textId="4DBA3A25" w:rsidR="003D6C35" w:rsidRPr="001C48FB" w:rsidRDefault="003D6C35" w:rsidP="003D6C35">
      <w:pPr>
        <w:pStyle w:val="Blocksatz"/>
        <w:rPr>
          <w:lang w:bidi="ar-QA"/>
        </w:rPr>
      </w:pPr>
      <w:r w:rsidRPr="001C48FB">
        <w:rPr>
          <w:lang w:bidi="ar-QA"/>
        </w:rPr>
        <w:t xml:space="preserve">Operation monitoring and control is carried out from </w:t>
      </w:r>
      <w:proofErr w:type="spellStart"/>
      <w:r w:rsidRPr="001C48FB">
        <w:rPr>
          <w:lang w:bidi="ar-QA"/>
        </w:rPr>
        <w:t>Energinets</w:t>
      </w:r>
      <w:proofErr w:type="spellEnd"/>
      <w:r w:rsidRPr="001C48FB">
        <w:rPr>
          <w:lang w:bidi="ar-QA"/>
        </w:rPr>
        <w:t xml:space="preserve"> Control Centre at </w:t>
      </w:r>
      <w:proofErr w:type="spellStart"/>
      <w:r w:rsidRPr="001C48FB">
        <w:rPr>
          <w:lang w:bidi="ar-QA"/>
        </w:rPr>
        <w:t>Erritsø</w:t>
      </w:r>
      <w:proofErr w:type="spellEnd"/>
      <w:r w:rsidRPr="001C48FB">
        <w:rPr>
          <w:lang w:bidi="ar-QA"/>
        </w:rPr>
        <w:t xml:space="preserve"> or Vester </w:t>
      </w:r>
      <w:proofErr w:type="spellStart"/>
      <w:r w:rsidRPr="001C48FB">
        <w:rPr>
          <w:lang w:bidi="ar-QA"/>
        </w:rPr>
        <w:t>Hassing</w:t>
      </w:r>
      <w:proofErr w:type="spellEnd"/>
      <w:r w:rsidRPr="001C48FB">
        <w:rPr>
          <w:lang w:bidi="ar-QA"/>
        </w:rPr>
        <w:t xml:space="preserve"> and the Operations Centre at </w:t>
      </w:r>
      <w:proofErr w:type="spellStart"/>
      <w:r w:rsidRPr="001C48FB">
        <w:rPr>
          <w:lang w:bidi="ar-QA"/>
        </w:rPr>
        <w:t>Sundbyberg</w:t>
      </w:r>
      <w:proofErr w:type="spellEnd"/>
      <w:r w:rsidRPr="001C48FB">
        <w:rPr>
          <w:lang w:bidi="ar-QA"/>
        </w:rPr>
        <w:t xml:space="preserve"> (DCSY).</w:t>
      </w:r>
    </w:p>
    <w:p w14:paraId="472AF7AE" w14:textId="77777777" w:rsidR="003D6C35" w:rsidRPr="001C48FB" w:rsidRDefault="003D6C35" w:rsidP="003D6C35">
      <w:pPr>
        <w:pStyle w:val="Blocksatz"/>
        <w:numPr>
          <w:ilvl w:val="0"/>
          <w:numId w:val="33"/>
        </w:numPr>
        <w:rPr>
          <w:lang w:bidi="ar-QA"/>
        </w:rPr>
      </w:pPr>
      <w:r w:rsidRPr="001C48FB">
        <w:rPr>
          <w:lang w:bidi="ar-QA"/>
        </w:rPr>
        <w:t xml:space="preserve">Normally, bipolar operation is applied to </w:t>
      </w:r>
      <w:proofErr w:type="spellStart"/>
      <w:r w:rsidRPr="001C48FB">
        <w:rPr>
          <w:lang w:bidi="ar-QA"/>
        </w:rPr>
        <w:t>Konti-Skan</w:t>
      </w:r>
      <w:proofErr w:type="spellEnd"/>
      <w:r w:rsidRPr="001C48FB">
        <w:rPr>
          <w:lang w:bidi="ar-QA"/>
        </w:rPr>
        <w:t xml:space="preserve"> 1 and 2 but each of them can also be operated in monopolar mode.</w:t>
      </w:r>
    </w:p>
    <w:p w14:paraId="566CB576" w14:textId="77777777" w:rsidR="003D6C35" w:rsidRPr="001C48FB" w:rsidRDefault="003D6C35" w:rsidP="003D6C35">
      <w:pPr>
        <w:pStyle w:val="Blocksatz"/>
        <w:rPr>
          <w:lang w:bidi="ar-QA"/>
        </w:rPr>
      </w:pPr>
    </w:p>
    <w:p w14:paraId="237A553F" w14:textId="6671EDBA" w:rsidR="003D6C35" w:rsidRPr="001C48FB" w:rsidRDefault="003D6C35" w:rsidP="003D6C35">
      <w:pPr>
        <w:pStyle w:val="Overskrift2"/>
      </w:pPr>
      <w:bookmarkStart w:id="14" w:name="_Toc54868521"/>
      <w:bookmarkStart w:id="15" w:name="_Toc105769345"/>
      <w:r w:rsidRPr="001C48FB">
        <w:t>Switching schedule</w:t>
      </w:r>
      <w:bookmarkEnd w:id="14"/>
      <w:bookmarkEnd w:id="15"/>
    </w:p>
    <w:p w14:paraId="56A9C026" w14:textId="77777777" w:rsidR="003D6C35" w:rsidRPr="001C48FB" w:rsidRDefault="003D6C35" w:rsidP="003D6C35">
      <w:pPr>
        <w:pStyle w:val="Blocksatz"/>
        <w:rPr>
          <w:lang w:bidi="ar-QA"/>
        </w:rPr>
      </w:pPr>
      <w:r w:rsidRPr="001C48FB">
        <w:rPr>
          <w:lang w:bidi="ar-QA"/>
        </w:rPr>
        <w:t xml:space="preserve">Switching concerning </w:t>
      </w:r>
      <w:proofErr w:type="spellStart"/>
      <w:r w:rsidRPr="001C48FB">
        <w:rPr>
          <w:lang w:bidi="ar-QA"/>
        </w:rPr>
        <w:t>Konti-Skan</w:t>
      </w:r>
      <w:proofErr w:type="spellEnd"/>
      <w:r w:rsidRPr="001C48FB">
        <w:rPr>
          <w:lang w:bidi="ar-QA"/>
        </w:rPr>
        <w:t xml:space="preserve"> takes place as follows:</w:t>
      </w:r>
    </w:p>
    <w:p w14:paraId="493D535C" w14:textId="2FF4A7A2" w:rsidR="003D6C35" w:rsidRPr="001C48FB" w:rsidRDefault="003D6C35" w:rsidP="003D6C35">
      <w:pPr>
        <w:pStyle w:val="Blocksatz"/>
        <w:numPr>
          <w:ilvl w:val="0"/>
          <w:numId w:val="38"/>
        </w:numPr>
        <w:rPr>
          <w:lang w:bidi="ar-QA"/>
        </w:rPr>
      </w:pPr>
      <w:r w:rsidRPr="001C48FB">
        <w:rPr>
          <w:lang w:bidi="ar-QA"/>
        </w:rPr>
        <w:t xml:space="preserve">Switching which concerns Vester </w:t>
      </w:r>
      <w:proofErr w:type="spellStart"/>
      <w:r w:rsidRPr="001C48FB">
        <w:rPr>
          <w:lang w:bidi="ar-QA"/>
        </w:rPr>
        <w:t>Hassing</w:t>
      </w:r>
      <w:proofErr w:type="spellEnd"/>
      <w:r w:rsidRPr="001C48FB">
        <w:rPr>
          <w:lang w:bidi="ar-QA"/>
        </w:rPr>
        <w:t xml:space="preserve"> alone takes place in accordance with a switching schedule drawn up by Energinet.</w:t>
      </w:r>
    </w:p>
    <w:p w14:paraId="50B3DD4B" w14:textId="0A8E61AF" w:rsidR="003D6C35" w:rsidRPr="001C48FB" w:rsidRDefault="003D6C35" w:rsidP="003D6C35">
      <w:pPr>
        <w:pStyle w:val="Blocksatz"/>
        <w:numPr>
          <w:ilvl w:val="0"/>
          <w:numId w:val="38"/>
        </w:numPr>
        <w:rPr>
          <w:lang w:bidi="ar-QA"/>
        </w:rPr>
      </w:pPr>
      <w:r w:rsidRPr="001C48FB">
        <w:rPr>
          <w:lang w:bidi="ar-QA"/>
        </w:rPr>
        <w:t xml:space="preserve">Switching on the Danish part of the cable takes place in accordance with a switching plan drawn up by Energinet. Before the work begins, the Operations Centres shall confirm that the link is grounded and secured against switching on by exchanging switching confirmations. </w:t>
      </w:r>
    </w:p>
    <w:p w14:paraId="1F3D5D2A" w14:textId="77777777" w:rsidR="003D6C35" w:rsidRPr="001C48FB" w:rsidRDefault="003D6C35" w:rsidP="003D6C35">
      <w:pPr>
        <w:pStyle w:val="Blocksatz"/>
        <w:numPr>
          <w:ilvl w:val="0"/>
          <w:numId w:val="38"/>
        </w:numPr>
        <w:rPr>
          <w:lang w:bidi="ar-QA"/>
        </w:rPr>
      </w:pPr>
      <w:r w:rsidRPr="001C48FB">
        <w:rPr>
          <w:lang w:bidi="ar-QA"/>
        </w:rPr>
        <w:t xml:space="preserve">Switching in </w:t>
      </w:r>
      <w:proofErr w:type="spellStart"/>
      <w:r w:rsidRPr="001C48FB">
        <w:rPr>
          <w:lang w:bidi="ar-QA"/>
        </w:rPr>
        <w:t>Lindome</w:t>
      </w:r>
      <w:proofErr w:type="spellEnd"/>
      <w:r w:rsidRPr="001C48FB">
        <w:rPr>
          <w:lang w:bidi="ar-QA"/>
        </w:rPr>
        <w:t xml:space="preserve"> alone takes place in accordance with a switching plan drawn up by Svenska </w:t>
      </w:r>
      <w:proofErr w:type="spellStart"/>
      <w:r w:rsidRPr="001C48FB">
        <w:rPr>
          <w:lang w:bidi="ar-QA"/>
        </w:rPr>
        <w:t>kraftnät</w:t>
      </w:r>
      <w:proofErr w:type="spellEnd"/>
      <w:r w:rsidRPr="001C48FB">
        <w:rPr>
          <w:lang w:bidi="ar-QA"/>
        </w:rPr>
        <w:t>.</w:t>
      </w:r>
    </w:p>
    <w:p w14:paraId="102BE2B6" w14:textId="77777777" w:rsidR="003D6C35" w:rsidRPr="001C48FB" w:rsidRDefault="003D6C35" w:rsidP="003D6C35">
      <w:pPr>
        <w:pStyle w:val="Blocksatz"/>
        <w:numPr>
          <w:ilvl w:val="0"/>
          <w:numId w:val="38"/>
        </w:numPr>
        <w:rPr>
          <w:lang w:bidi="ar-QA"/>
        </w:rPr>
      </w:pPr>
      <w:r w:rsidRPr="001C48FB">
        <w:rPr>
          <w:lang w:bidi="ar-QA"/>
        </w:rPr>
        <w:lastRenderedPageBreak/>
        <w:t xml:space="preserve">Switching on the Swedish part of the cable takes place in accordance with a switching schedule drawn up by Svenska </w:t>
      </w:r>
      <w:proofErr w:type="spellStart"/>
      <w:r w:rsidRPr="001C48FB">
        <w:rPr>
          <w:lang w:bidi="ar-QA"/>
        </w:rPr>
        <w:t>kraftnät</w:t>
      </w:r>
      <w:proofErr w:type="spellEnd"/>
      <w:r w:rsidRPr="001C48FB">
        <w:rPr>
          <w:lang w:bidi="ar-QA"/>
        </w:rPr>
        <w:t xml:space="preserve">. Before the work begins, the Operations Centres shall confirm that the link is grounded and secured against switching on by exchanging switching confirmations. </w:t>
      </w:r>
    </w:p>
    <w:p w14:paraId="7EA51A68" w14:textId="77777777" w:rsidR="003D6C35" w:rsidRPr="001C48FB" w:rsidRDefault="003D6C35" w:rsidP="003D6C35">
      <w:pPr>
        <w:pStyle w:val="Blocksatz"/>
        <w:rPr>
          <w:lang w:bidi="ar-QA"/>
        </w:rPr>
      </w:pPr>
    </w:p>
    <w:p w14:paraId="1EF31420" w14:textId="7DFF9168" w:rsidR="003D6C35" w:rsidRPr="001C48FB" w:rsidRDefault="003D6C35" w:rsidP="003D6C35">
      <w:pPr>
        <w:pStyle w:val="Overskrift2"/>
      </w:pPr>
      <w:bookmarkStart w:id="16" w:name="_Toc54868522"/>
      <w:bookmarkStart w:id="17" w:name="_Toc105769346"/>
      <w:r w:rsidRPr="001C48FB">
        <w:t>Disturbance management</w:t>
      </w:r>
      <w:bookmarkEnd w:id="16"/>
      <w:bookmarkEnd w:id="17"/>
    </w:p>
    <w:p w14:paraId="12445880" w14:textId="41B26BA4" w:rsidR="003D6C35" w:rsidRPr="001C48FB" w:rsidRDefault="003D6C35" w:rsidP="003D6C35">
      <w:pPr>
        <w:pStyle w:val="Overskrift3"/>
      </w:pPr>
      <w:bookmarkStart w:id="18" w:name="_Toc54868523"/>
      <w:bookmarkStart w:id="19" w:name="_Toc105769347"/>
      <w:r w:rsidRPr="001C48FB">
        <w:t>Cross-border link trips – management</w:t>
      </w:r>
      <w:bookmarkEnd w:id="18"/>
      <w:bookmarkEnd w:id="19"/>
    </w:p>
    <w:p w14:paraId="6303ED15" w14:textId="77777777" w:rsidR="003D6C35" w:rsidRPr="001C48FB" w:rsidRDefault="003D6C35" w:rsidP="003D6C35">
      <w:pPr>
        <w:pStyle w:val="Blocksatz"/>
        <w:rPr>
          <w:lang w:bidi="ar-QA"/>
        </w:rPr>
      </w:pPr>
      <w:r w:rsidRPr="001C48FB">
        <w:rPr>
          <w:lang w:bidi="ar-QA"/>
        </w:rPr>
        <w:t>During operational disturbances, measures in accordance with issued instructions shall, as soon as possible, restore the link to normal state.</w:t>
      </w:r>
    </w:p>
    <w:p w14:paraId="28AB1C84" w14:textId="77777777" w:rsidR="003D6C35" w:rsidRPr="001C48FB" w:rsidRDefault="003D6C35" w:rsidP="003D6C35">
      <w:pPr>
        <w:pStyle w:val="Blocksatz"/>
        <w:rPr>
          <w:lang w:bidi="ar-QA"/>
        </w:rPr>
      </w:pPr>
    </w:p>
    <w:p w14:paraId="4771BE48" w14:textId="43430282" w:rsidR="003D6C35" w:rsidRPr="001C48FB" w:rsidRDefault="003D6C35" w:rsidP="003D6C35">
      <w:pPr>
        <w:pStyle w:val="Overskrift3"/>
      </w:pPr>
      <w:bookmarkStart w:id="20" w:name="_Toc54868524"/>
      <w:bookmarkStart w:id="21" w:name="_Toc105769348"/>
      <w:r w:rsidRPr="001C48FB">
        <w:t>Switching schedule</w:t>
      </w:r>
      <w:bookmarkEnd w:id="20"/>
      <w:bookmarkEnd w:id="21"/>
    </w:p>
    <w:p w14:paraId="719DB130" w14:textId="4F54498F" w:rsidR="003D6C35" w:rsidRPr="001C48FB" w:rsidRDefault="003D6C35" w:rsidP="003D6C35">
      <w:pPr>
        <w:pStyle w:val="Blocksatz"/>
        <w:rPr>
          <w:lang w:bidi="ar-QA"/>
        </w:rPr>
      </w:pPr>
      <w:r w:rsidRPr="001C48FB">
        <w:rPr>
          <w:lang w:bidi="ar-QA"/>
        </w:rPr>
        <w:t xml:space="preserve">In the event of faults requiring </w:t>
      </w:r>
      <w:proofErr w:type="spellStart"/>
      <w:r w:rsidRPr="001C48FB">
        <w:rPr>
          <w:lang w:bidi="ar-QA"/>
        </w:rPr>
        <w:t>switchings</w:t>
      </w:r>
      <w:proofErr w:type="spellEnd"/>
      <w:r w:rsidRPr="001C48FB">
        <w:rPr>
          <w:lang w:bidi="ar-QA"/>
        </w:rPr>
        <w:t xml:space="preserve"> impacting upon the cross-border link, </w:t>
      </w:r>
      <w:proofErr w:type="spellStart"/>
      <w:r w:rsidRPr="001C48FB">
        <w:rPr>
          <w:lang w:bidi="ar-QA"/>
        </w:rPr>
        <w:t>Energinets</w:t>
      </w:r>
      <w:proofErr w:type="spellEnd"/>
      <w:r w:rsidRPr="001C48FB">
        <w:rPr>
          <w:lang w:bidi="ar-QA"/>
        </w:rPr>
        <w:t xml:space="preserve"> Control Centre at </w:t>
      </w:r>
      <w:proofErr w:type="spellStart"/>
      <w:r w:rsidR="00447625" w:rsidRPr="001C48FB">
        <w:rPr>
          <w:lang w:bidi="ar-QA"/>
        </w:rPr>
        <w:t>Erritsø</w:t>
      </w:r>
      <w:proofErr w:type="spellEnd"/>
      <w:r w:rsidR="00447625" w:rsidRPr="001C48FB">
        <w:rPr>
          <w:lang w:bidi="ar-QA"/>
        </w:rPr>
        <w:t xml:space="preserve"> </w:t>
      </w:r>
      <w:r w:rsidRPr="001C48FB">
        <w:rPr>
          <w:lang w:bidi="ar-QA"/>
        </w:rPr>
        <w:t xml:space="preserve">and Svenska </w:t>
      </w:r>
      <w:proofErr w:type="spellStart"/>
      <w:r w:rsidRPr="001C48FB">
        <w:rPr>
          <w:lang w:bidi="ar-QA"/>
        </w:rPr>
        <w:t>kraftnät</w:t>
      </w:r>
      <w:proofErr w:type="spellEnd"/>
      <w:r w:rsidRPr="001C48FB">
        <w:rPr>
          <w:lang w:bidi="ar-QA"/>
        </w:rPr>
        <w:t xml:space="preserve"> are informed prior to any </w:t>
      </w:r>
      <w:proofErr w:type="spellStart"/>
      <w:r w:rsidRPr="001C48FB">
        <w:rPr>
          <w:lang w:bidi="ar-QA"/>
        </w:rPr>
        <w:t>switchings</w:t>
      </w:r>
      <w:proofErr w:type="spellEnd"/>
      <w:r w:rsidRPr="001C48FB">
        <w:rPr>
          <w:lang w:bidi="ar-QA"/>
        </w:rPr>
        <w:t xml:space="preserve"> being made. In the event of </w:t>
      </w:r>
      <w:proofErr w:type="spellStart"/>
      <w:r w:rsidRPr="001C48FB">
        <w:rPr>
          <w:lang w:bidi="ar-QA"/>
        </w:rPr>
        <w:t>switchings</w:t>
      </w:r>
      <w:proofErr w:type="spellEnd"/>
      <w:r w:rsidRPr="001C48FB">
        <w:rPr>
          <w:lang w:bidi="ar-QA"/>
        </w:rPr>
        <w:t xml:space="preserve"> on the Swedish grid, a switching schedule will be drawn up by Svenska </w:t>
      </w:r>
      <w:proofErr w:type="spellStart"/>
      <w:r w:rsidRPr="001C48FB">
        <w:rPr>
          <w:lang w:bidi="ar-QA"/>
        </w:rPr>
        <w:t>kraftnät</w:t>
      </w:r>
      <w:proofErr w:type="spellEnd"/>
      <w:r w:rsidRPr="001C48FB">
        <w:rPr>
          <w:lang w:bidi="ar-QA"/>
        </w:rPr>
        <w:t>.</w:t>
      </w:r>
    </w:p>
    <w:p w14:paraId="49A360E5" w14:textId="77777777" w:rsidR="003D6C35" w:rsidRPr="001C48FB" w:rsidRDefault="003D6C35" w:rsidP="003D6C35">
      <w:pPr>
        <w:pStyle w:val="Blocksatz"/>
        <w:rPr>
          <w:lang w:bidi="ar-QA"/>
        </w:rPr>
      </w:pPr>
    </w:p>
    <w:p w14:paraId="1BC8FEBF" w14:textId="14F217BE" w:rsidR="003D6C35" w:rsidRPr="001C48FB" w:rsidRDefault="003D6C35" w:rsidP="003D6C35">
      <w:pPr>
        <w:pStyle w:val="Overskrift3"/>
      </w:pPr>
      <w:bookmarkStart w:id="22" w:name="_Toc54868525"/>
      <w:bookmarkStart w:id="23" w:name="_Toc105769349"/>
      <w:r w:rsidRPr="001C48FB">
        <w:t>Fault finding</w:t>
      </w:r>
      <w:bookmarkEnd w:id="22"/>
      <w:bookmarkEnd w:id="23"/>
    </w:p>
    <w:p w14:paraId="08E198CB" w14:textId="77777777" w:rsidR="003D6C35" w:rsidRPr="001C48FB" w:rsidRDefault="003D6C35" w:rsidP="003D6C35">
      <w:pPr>
        <w:pStyle w:val="Blocksatz"/>
        <w:rPr>
          <w:lang w:bidi="ar-QA"/>
        </w:rPr>
      </w:pPr>
      <w:r w:rsidRPr="001C48FB">
        <w:rPr>
          <w:lang w:bidi="ar-QA"/>
        </w:rPr>
        <w:t xml:space="preserve">Initial fault finding will be carried out differently from case to case. </w:t>
      </w:r>
      <w:proofErr w:type="gramStart"/>
      <w:r w:rsidRPr="001C48FB">
        <w:rPr>
          <w:lang w:bidi="ar-QA"/>
        </w:rPr>
        <w:t>Generally speaking, the</w:t>
      </w:r>
      <w:proofErr w:type="gramEnd"/>
      <w:r w:rsidRPr="001C48FB">
        <w:rPr>
          <w:lang w:bidi="ar-QA"/>
        </w:rPr>
        <w:t xml:space="preserve"> respective facility owner will be responsible for fault finding. For fault finding, a special preparedness plan for submarine cables has been drawn up.</w:t>
      </w:r>
    </w:p>
    <w:p w14:paraId="51AF4816" w14:textId="77777777" w:rsidR="003D6C35" w:rsidRPr="001C48FB" w:rsidRDefault="003D6C35" w:rsidP="003D6C35">
      <w:pPr>
        <w:pStyle w:val="Blocksatz"/>
        <w:rPr>
          <w:lang w:bidi="ar-QA"/>
        </w:rPr>
      </w:pPr>
    </w:p>
    <w:p w14:paraId="4C6D5181" w14:textId="7F28927E" w:rsidR="003D6C35" w:rsidRPr="001C48FB" w:rsidRDefault="003D6C35" w:rsidP="003D6C35">
      <w:pPr>
        <w:pStyle w:val="Overskrift3"/>
      </w:pPr>
      <w:bookmarkStart w:id="24" w:name="_Toc54868526"/>
      <w:bookmarkStart w:id="25" w:name="_Toc105769350"/>
      <w:r w:rsidRPr="001C48FB">
        <w:t>Fault clearance, remaining faults</w:t>
      </w:r>
      <w:bookmarkEnd w:id="24"/>
      <w:bookmarkEnd w:id="25"/>
    </w:p>
    <w:p w14:paraId="18DC8FB7" w14:textId="77777777" w:rsidR="003D6C35" w:rsidRPr="001C48FB" w:rsidRDefault="003D6C35" w:rsidP="003D6C35">
      <w:pPr>
        <w:pStyle w:val="Blocksatz"/>
        <w:rPr>
          <w:lang w:bidi="ar-QA"/>
        </w:rPr>
      </w:pPr>
      <w:r w:rsidRPr="001C48FB">
        <w:rPr>
          <w:lang w:bidi="ar-QA"/>
        </w:rPr>
        <w:t>Once the fault has been localized, the respective facility owner will attend to clearing the fault. For fault clearance, a special preparedness plan for submarine cables has been drawn up.</w:t>
      </w:r>
    </w:p>
    <w:p w14:paraId="60822EC1" w14:textId="77777777" w:rsidR="003D6C35" w:rsidRPr="001C48FB" w:rsidRDefault="003D6C35" w:rsidP="003D6C35">
      <w:pPr>
        <w:pStyle w:val="Blocksatz"/>
        <w:rPr>
          <w:lang w:bidi="ar-QA"/>
        </w:rPr>
      </w:pPr>
    </w:p>
    <w:p w14:paraId="7D4882B1" w14:textId="5CE9C14D" w:rsidR="003D6C35" w:rsidRPr="001C48FB" w:rsidRDefault="003D6C35" w:rsidP="003D6C35">
      <w:pPr>
        <w:pStyle w:val="Overskrift1"/>
      </w:pPr>
      <w:bookmarkStart w:id="26" w:name="_Toc54868527"/>
      <w:bookmarkStart w:id="27" w:name="_Toc105769351"/>
      <w:r w:rsidRPr="001C48FB">
        <w:t>System operation for facilities</w:t>
      </w:r>
      <w:bookmarkEnd w:id="26"/>
      <w:bookmarkEnd w:id="27"/>
    </w:p>
    <w:p w14:paraId="3B0E3D9D" w14:textId="69E9FF98" w:rsidR="003D6C35" w:rsidRPr="001C48FB" w:rsidRDefault="00676816" w:rsidP="003D6C35">
      <w:pPr>
        <w:pStyle w:val="Overskrift2"/>
      </w:pPr>
      <w:bookmarkStart w:id="28" w:name="_Toc54868528"/>
      <w:bookmarkStart w:id="29" w:name="_Toc105769352"/>
      <w:r w:rsidRPr="001C48FB">
        <w:t xml:space="preserve">Total </w:t>
      </w:r>
      <w:r w:rsidR="003D6C35" w:rsidRPr="001C48FB">
        <w:t xml:space="preserve">Transmission </w:t>
      </w:r>
      <w:r w:rsidR="00A27C6D">
        <w:t>C</w:t>
      </w:r>
      <w:r w:rsidR="003D6C35" w:rsidRPr="001C48FB">
        <w:t>apacity</w:t>
      </w:r>
      <w:bookmarkEnd w:id="28"/>
      <w:bookmarkEnd w:id="29"/>
      <w:r w:rsidR="00A27C6D">
        <w:t xml:space="preserve"> (TTC)</w:t>
      </w:r>
    </w:p>
    <w:p w14:paraId="3F6C641C" w14:textId="14682B7D" w:rsidR="003D6C35" w:rsidRPr="001C48FB" w:rsidRDefault="003D6C35" w:rsidP="003D6C35">
      <w:pPr>
        <w:pStyle w:val="Blocksatz"/>
        <w:rPr>
          <w:lang w:bidi="ar-QA"/>
        </w:rPr>
      </w:pPr>
      <w:r w:rsidRPr="001C48FB">
        <w:rPr>
          <w:lang w:bidi="ar-QA"/>
        </w:rPr>
        <w:t xml:space="preserve">The transmission capacity (TTC) of the link is dependent on the temperature of the air and the </w:t>
      </w:r>
      <w:r w:rsidR="00A2401D" w:rsidRPr="001C48FB">
        <w:rPr>
          <w:lang w:bidi="ar-QA"/>
        </w:rPr>
        <w:t>ground</w:t>
      </w:r>
      <w:r w:rsidRPr="001C48FB">
        <w:rPr>
          <w:lang w:bidi="ar-QA"/>
        </w:rPr>
        <w:t>.</w:t>
      </w:r>
    </w:p>
    <w:p w14:paraId="574C839A" w14:textId="63D690FF" w:rsidR="00121FBA" w:rsidRPr="001C48FB" w:rsidRDefault="00121FBA" w:rsidP="003D6C35">
      <w:pPr>
        <w:pStyle w:val="Blocksatz"/>
        <w:rPr>
          <w:lang w:bidi="ar-QA"/>
        </w:rPr>
      </w:pPr>
      <w:r w:rsidRPr="001C48FB">
        <w:rPr>
          <w:lang w:bidi="ar-QA"/>
        </w:rPr>
        <w:t>The nominal capacity at the receiving end:</w:t>
      </w:r>
    </w:p>
    <w:p w14:paraId="098876A1" w14:textId="1623BBBB" w:rsidR="00121FBA" w:rsidRPr="001C48FB" w:rsidRDefault="003D6C35" w:rsidP="00307AEC">
      <w:pPr>
        <w:pStyle w:val="Blocksatz"/>
        <w:numPr>
          <w:ilvl w:val="0"/>
          <w:numId w:val="51"/>
        </w:numPr>
        <w:rPr>
          <w:lang w:bidi="ar-QA"/>
        </w:rPr>
      </w:pPr>
      <w:r w:rsidRPr="001C48FB">
        <w:rPr>
          <w:lang w:bidi="ar-QA"/>
        </w:rPr>
        <w:t>In bipolar operation, the nominal capacity is 7</w:t>
      </w:r>
      <w:r w:rsidR="00121FBA" w:rsidRPr="001C48FB">
        <w:rPr>
          <w:lang w:bidi="ar-QA"/>
        </w:rPr>
        <w:t>15</w:t>
      </w:r>
      <w:r w:rsidRPr="001C48FB">
        <w:rPr>
          <w:lang w:bidi="ar-QA"/>
        </w:rPr>
        <w:t xml:space="preserve"> MW, </w:t>
      </w:r>
    </w:p>
    <w:p w14:paraId="67ACF0F9" w14:textId="73E5A975" w:rsidR="003D6C35" w:rsidRPr="001C48FB" w:rsidRDefault="003D6C35" w:rsidP="00307AEC">
      <w:pPr>
        <w:pStyle w:val="Blocksatz"/>
        <w:numPr>
          <w:ilvl w:val="0"/>
          <w:numId w:val="51"/>
        </w:numPr>
        <w:rPr>
          <w:lang w:bidi="ar-QA"/>
        </w:rPr>
      </w:pPr>
      <w:r w:rsidRPr="001C48FB">
        <w:rPr>
          <w:lang w:bidi="ar-QA"/>
        </w:rPr>
        <w:t>in monopolar operation (KS1 or KS2), the capacity is 3</w:t>
      </w:r>
      <w:r w:rsidR="00121FBA" w:rsidRPr="001C48FB">
        <w:rPr>
          <w:lang w:bidi="ar-QA"/>
        </w:rPr>
        <w:t>45</w:t>
      </w:r>
      <w:r w:rsidRPr="001C48FB">
        <w:rPr>
          <w:lang w:bidi="ar-QA"/>
        </w:rPr>
        <w:t xml:space="preserve"> MW.</w:t>
      </w:r>
    </w:p>
    <w:p w14:paraId="15B362AF" w14:textId="77777777" w:rsidR="003D6C35" w:rsidRPr="001C48FB" w:rsidRDefault="003D6C35" w:rsidP="00307AEC">
      <w:pPr>
        <w:pStyle w:val="Blocksatz"/>
        <w:numPr>
          <w:ilvl w:val="0"/>
          <w:numId w:val="51"/>
        </w:numPr>
        <w:rPr>
          <w:lang w:bidi="ar-QA"/>
        </w:rPr>
      </w:pPr>
      <w:r w:rsidRPr="001C48FB">
        <w:rPr>
          <w:lang w:bidi="ar-QA"/>
        </w:rPr>
        <w:t>Technical minimum capacity of KS1: 12 MW; KS2: 9 MW.</w:t>
      </w:r>
    </w:p>
    <w:p w14:paraId="1DDD9DAE" w14:textId="77777777" w:rsidR="003D6C35" w:rsidRPr="003D6C35" w:rsidRDefault="003D6C35" w:rsidP="003D6C35">
      <w:pPr>
        <w:pStyle w:val="Blocksatz"/>
        <w:rPr>
          <w:lang w:bidi="ar-QA"/>
        </w:rPr>
      </w:pPr>
    </w:p>
    <w:p w14:paraId="59F6E856" w14:textId="2882B9E1" w:rsidR="003D6C35" w:rsidRPr="001C48FB" w:rsidRDefault="003D6C35" w:rsidP="003D6C35">
      <w:pPr>
        <w:pStyle w:val="Overskrift2"/>
      </w:pPr>
      <w:bookmarkStart w:id="30" w:name="_Toc54868529"/>
      <w:bookmarkStart w:id="31" w:name="_Toc105769353"/>
      <w:r w:rsidRPr="001C48FB">
        <w:lastRenderedPageBreak/>
        <w:t>Routines for determining the transmission capacity</w:t>
      </w:r>
      <w:bookmarkEnd w:id="30"/>
      <w:bookmarkEnd w:id="31"/>
    </w:p>
    <w:p w14:paraId="4CC0A417" w14:textId="0F77D357" w:rsidR="003D6C35" w:rsidRPr="001C48FB" w:rsidRDefault="003D6C35" w:rsidP="003D6C35">
      <w:pPr>
        <w:pStyle w:val="Blocksatz"/>
        <w:rPr>
          <w:lang w:bidi="ar-QA"/>
        </w:rPr>
      </w:pPr>
      <w:r w:rsidRPr="001C48FB">
        <w:rPr>
          <w:lang w:bidi="ar-QA"/>
        </w:rPr>
        <w:t xml:space="preserve">The transmission capacity between Jutland and Sweden shall be set on a routine basis by the Parties. In the case of intact connecting networks, the transmission capacity is determined by the thermal capacity of the facilities’ components. The thermal overload capability allowed by monitoring equipment shall be capable of being used as and when required in accordance with special instructions. Technical data for the facilities’ transmission capacities is reported in the current facility agreement between Energinet and Svenska </w:t>
      </w:r>
      <w:proofErr w:type="spellStart"/>
      <w:r w:rsidRPr="001C48FB">
        <w:rPr>
          <w:lang w:bidi="ar-QA"/>
        </w:rPr>
        <w:t>kraftnät</w:t>
      </w:r>
      <w:proofErr w:type="spellEnd"/>
      <w:r w:rsidRPr="001C48FB">
        <w:rPr>
          <w:lang w:bidi="ar-QA"/>
        </w:rPr>
        <w:t>.</w:t>
      </w:r>
    </w:p>
    <w:p w14:paraId="331E3587" w14:textId="400989CB" w:rsidR="003D6C35" w:rsidRPr="001C48FB" w:rsidRDefault="003D6C35" w:rsidP="003D6C35">
      <w:pPr>
        <w:pStyle w:val="Blocksatz"/>
        <w:rPr>
          <w:lang w:bidi="ar-QA"/>
        </w:rPr>
      </w:pPr>
      <w:r w:rsidRPr="001C48FB">
        <w:rPr>
          <w:lang w:bidi="ar-QA"/>
        </w:rPr>
        <w:t xml:space="preserve">For any limitations in the connecting AC networks, </w:t>
      </w:r>
      <w:proofErr w:type="spellStart"/>
      <w:r w:rsidRPr="001C48FB">
        <w:rPr>
          <w:lang w:bidi="ar-QA"/>
        </w:rPr>
        <w:t>Energinets</w:t>
      </w:r>
      <w:proofErr w:type="spellEnd"/>
      <w:r w:rsidRPr="001C48FB">
        <w:rPr>
          <w:lang w:bidi="ar-QA"/>
        </w:rPr>
        <w:t xml:space="preserve"> Control Centre at </w:t>
      </w:r>
      <w:proofErr w:type="spellStart"/>
      <w:r w:rsidRPr="001C48FB">
        <w:rPr>
          <w:lang w:bidi="ar-QA"/>
        </w:rPr>
        <w:t>Erritsø</w:t>
      </w:r>
      <w:proofErr w:type="spellEnd"/>
      <w:r w:rsidRPr="001C48FB">
        <w:rPr>
          <w:lang w:bidi="ar-QA"/>
        </w:rPr>
        <w:t xml:space="preserve"> is responsible for supportive data on the Western Danish side and Svenska </w:t>
      </w:r>
      <w:proofErr w:type="spellStart"/>
      <w:r w:rsidRPr="001C48FB">
        <w:rPr>
          <w:lang w:bidi="ar-QA"/>
        </w:rPr>
        <w:t>kraftnät</w:t>
      </w:r>
      <w:proofErr w:type="spellEnd"/>
      <w:r w:rsidRPr="001C48FB">
        <w:rPr>
          <w:lang w:bidi="ar-QA"/>
        </w:rPr>
        <w:t xml:space="preserve"> for the same on the Swedish side.</w:t>
      </w:r>
    </w:p>
    <w:p w14:paraId="28F84AF2" w14:textId="77777777" w:rsidR="003D6C35" w:rsidRPr="001C48FB" w:rsidRDefault="003D6C35" w:rsidP="003D6C35">
      <w:pPr>
        <w:pStyle w:val="Blocksatz"/>
        <w:rPr>
          <w:lang w:bidi="ar-QA"/>
        </w:rPr>
      </w:pPr>
    </w:p>
    <w:p w14:paraId="585FE3A7" w14:textId="314459F6" w:rsidR="003D6C35" w:rsidRPr="001C48FB" w:rsidRDefault="003D6C35" w:rsidP="003D6C35">
      <w:pPr>
        <w:pStyle w:val="Overskrift2"/>
      </w:pPr>
      <w:bookmarkStart w:id="32" w:name="_Toc54868530"/>
      <w:bookmarkStart w:id="33" w:name="_Toc105769354"/>
      <w:r w:rsidRPr="001C48FB">
        <w:t>Trading capacity (</w:t>
      </w:r>
      <w:r w:rsidR="00A27C6D">
        <w:t xml:space="preserve">Net Transmission Capacity - </w:t>
      </w:r>
      <w:r w:rsidRPr="001C48FB">
        <w:t>NTC)</w:t>
      </w:r>
      <w:bookmarkEnd w:id="32"/>
      <w:bookmarkEnd w:id="33"/>
    </w:p>
    <w:p w14:paraId="25DFBB6A" w14:textId="67D274BE" w:rsidR="003D6C35" w:rsidRPr="001C48FB" w:rsidRDefault="003D6C35" w:rsidP="003D6C35">
      <w:pPr>
        <w:pStyle w:val="Blocksatz"/>
        <w:rPr>
          <w:lang w:bidi="ar-QA"/>
        </w:rPr>
      </w:pPr>
      <w:r w:rsidRPr="001C48FB">
        <w:rPr>
          <w:lang w:bidi="ar-QA"/>
        </w:rPr>
        <w:t>The n</w:t>
      </w:r>
      <w:r w:rsidR="00D16ADB">
        <w:rPr>
          <w:lang w:bidi="ar-QA"/>
        </w:rPr>
        <w:t>et transmission</w:t>
      </w:r>
      <w:r w:rsidRPr="001C48FB">
        <w:rPr>
          <w:lang w:bidi="ar-QA"/>
        </w:rPr>
        <w:t xml:space="preserve"> capacity </w:t>
      </w:r>
      <w:r w:rsidR="00121FBA" w:rsidRPr="001C48FB">
        <w:rPr>
          <w:lang w:bidi="ar-QA"/>
        </w:rPr>
        <w:t xml:space="preserve">at the receiving end </w:t>
      </w:r>
      <w:r w:rsidRPr="001C48FB">
        <w:rPr>
          <w:lang w:bidi="ar-QA"/>
        </w:rPr>
        <w:t>is:</w:t>
      </w:r>
    </w:p>
    <w:p w14:paraId="21A506A2" w14:textId="5CD686E6" w:rsidR="003D6C35" w:rsidRPr="001C48FB" w:rsidRDefault="003D6C35" w:rsidP="00A63356">
      <w:pPr>
        <w:pStyle w:val="Blocksatz"/>
        <w:ind w:left="568"/>
        <w:rPr>
          <w:lang w:val="de-DE" w:bidi="ar-QA"/>
        </w:rPr>
      </w:pPr>
      <w:r w:rsidRPr="001C48FB">
        <w:rPr>
          <w:lang w:val="de-DE" w:bidi="ar-QA"/>
        </w:rPr>
        <w:t>7</w:t>
      </w:r>
      <w:r w:rsidR="00121FBA" w:rsidRPr="001C48FB">
        <w:rPr>
          <w:lang w:val="de-DE" w:bidi="ar-QA"/>
        </w:rPr>
        <w:t>15</w:t>
      </w:r>
      <w:r w:rsidRPr="001C48FB">
        <w:rPr>
          <w:lang w:val="de-DE" w:bidi="ar-QA"/>
        </w:rPr>
        <w:t xml:space="preserve"> MW </w:t>
      </w:r>
      <w:proofErr w:type="spellStart"/>
      <w:r w:rsidRPr="001C48FB">
        <w:rPr>
          <w:lang w:val="de-DE" w:bidi="ar-QA"/>
        </w:rPr>
        <w:t>from</w:t>
      </w:r>
      <w:proofErr w:type="spellEnd"/>
      <w:r w:rsidRPr="001C48FB">
        <w:rPr>
          <w:lang w:val="de-DE" w:bidi="ar-QA"/>
        </w:rPr>
        <w:t xml:space="preserve"> Western </w:t>
      </w:r>
      <w:proofErr w:type="spellStart"/>
      <w:r w:rsidRPr="001C48FB">
        <w:rPr>
          <w:lang w:val="de-DE" w:bidi="ar-QA"/>
        </w:rPr>
        <w:t>Denmark</w:t>
      </w:r>
      <w:proofErr w:type="spellEnd"/>
      <w:r w:rsidRPr="001C48FB">
        <w:rPr>
          <w:lang w:val="de-DE" w:bidi="ar-QA"/>
        </w:rPr>
        <w:t xml:space="preserve"> </w:t>
      </w:r>
      <w:r w:rsidRPr="001C48FB">
        <w:rPr>
          <w:rFonts w:ascii="Wingdings" w:eastAsia="Wingdings" w:hAnsi="Wingdings" w:cs="Wingdings"/>
          <w:lang w:bidi="ar-QA"/>
        </w:rPr>
        <w:t>à</w:t>
      </w:r>
      <w:r w:rsidRPr="001C48FB">
        <w:rPr>
          <w:lang w:val="de-DE" w:bidi="ar-QA"/>
        </w:rPr>
        <w:t xml:space="preserve"> </w:t>
      </w:r>
      <w:proofErr w:type="spellStart"/>
      <w:r w:rsidRPr="001C48FB">
        <w:rPr>
          <w:lang w:val="de-DE" w:bidi="ar-QA"/>
        </w:rPr>
        <w:t>Sweden</w:t>
      </w:r>
      <w:proofErr w:type="spellEnd"/>
    </w:p>
    <w:p w14:paraId="52FC488C" w14:textId="2D021D5E" w:rsidR="003D6C35" w:rsidRPr="001C48FB" w:rsidRDefault="00121FBA" w:rsidP="00A63356">
      <w:pPr>
        <w:pStyle w:val="Blocksatz"/>
        <w:ind w:left="568"/>
        <w:rPr>
          <w:lang w:val="de-DE" w:bidi="ar-QA"/>
        </w:rPr>
      </w:pPr>
      <w:r w:rsidRPr="001C48FB">
        <w:rPr>
          <w:lang w:val="de-DE" w:bidi="ar-QA"/>
        </w:rPr>
        <w:t>715</w:t>
      </w:r>
      <w:r w:rsidR="003D6C35" w:rsidRPr="001C48FB">
        <w:rPr>
          <w:lang w:val="de-DE" w:bidi="ar-QA"/>
        </w:rPr>
        <w:t xml:space="preserve"> MW </w:t>
      </w:r>
      <w:proofErr w:type="spellStart"/>
      <w:r w:rsidR="003D6C35" w:rsidRPr="001C48FB">
        <w:rPr>
          <w:lang w:val="de-DE" w:bidi="ar-QA"/>
        </w:rPr>
        <w:t>from</w:t>
      </w:r>
      <w:proofErr w:type="spellEnd"/>
      <w:r w:rsidR="003D6C35" w:rsidRPr="001C48FB">
        <w:rPr>
          <w:lang w:val="de-DE" w:bidi="ar-QA"/>
        </w:rPr>
        <w:t xml:space="preserve"> </w:t>
      </w:r>
      <w:proofErr w:type="spellStart"/>
      <w:r w:rsidR="003D6C35" w:rsidRPr="001C48FB">
        <w:rPr>
          <w:lang w:val="de-DE" w:bidi="ar-QA"/>
        </w:rPr>
        <w:t>Sweden</w:t>
      </w:r>
      <w:proofErr w:type="spellEnd"/>
      <w:r w:rsidR="003D6C35" w:rsidRPr="001C48FB">
        <w:rPr>
          <w:lang w:val="de-DE" w:bidi="ar-QA"/>
        </w:rPr>
        <w:t xml:space="preserve"> </w:t>
      </w:r>
      <w:r w:rsidR="003D6C35" w:rsidRPr="001C48FB">
        <w:rPr>
          <w:rFonts w:ascii="Wingdings" w:eastAsia="Wingdings" w:hAnsi="Wingdings" w:cs="Wingdings"/>
          <w:lang w:bidi="ar-QA"/>
        </w:rPr>
        <w:t>à</w:t>
      </w:r>
      <w:r w:rsidR="003D6C35" w:rsidRPr="001C48FB">
        <w:rPr>
          <w:lang w:val="de-DE" w:bidi="ar-QA"/>
        </w:rPr>
        <w:t xml:space="preserve"> Western </w:t>
      </w:r>
      <w:proofErr w:type="spellStart"/>
      <w:r w:rsidR="003D6C35" w:rsidRPr="001C48FB">
        <w:rPr>
          <w:lang w:val="de-DE" w:bidi="ar-QA"/>
        </w:rPr>
        <w:t>Denmark</w:t>
      </w:r>
      <w:proofErr w:type="spellEnd"/>
    </w:p>
    <w:p w14:paraId="3377F894" w14:textId="77777777" w:rsidR="003D6C35" w:rsidRPr="001C48FB" w:rsidRDefault="003D6C35" w:rsidP="003D6C35">
      <w:pPr>
        <w:pStyle w:val="Blocksatz"/>
        <w:rPr>
          <w:lang w:val="de-DE" w:bidi="ar-QA"/>
        </w:rPr>
      </w:pPr>
    </w:p>
    <w:p w14:paraId="1C8817D1" w14:textId="1F27F6C1" w:rsidR="003D6C35" w:rsidRPr="001C48FB" w:rsidRDefault="003D6C35" w:rsidP="003D6C35">
      <w:pPr>
        <w:pStyle w:val="Blocksatz"/>
        <w:rPr>
          <w:lang w:bidi="ar-QA"/>
        </w:rPr>
      </w:pPr>
      <w:r w:rsidRPr="001C48FB">
        <w:rPr>
          <w:lang w:bidi="ar-QA"/>
        </w:rPr>
        <w:t>For both directions, losses are defined to 30 MW.</w:t>
      </w:r>
    </w:p>
    <w:p w14:paraId="0B14C7F3" w14:textId="1F6E980B" w:rsidR="003D6C35" w:rsidRPr="001C48FB" w:rsidRDefault="003D6C35" w:rsidP="003D6C35">
      <w:pPr>
        <w:pStyle w:val="Blocksatz"/>
        <w:rPr>
          <w:lang w:bidi="ar-QA"/>
        </w:rPr>
      </w:pPr>
      <w:r w:rsidRPr="001C48FB">
        <w:rPr>
          <w:lang w:bidi="ar-QA"/>
        </w:rPr>
        <w:t>The following calendar day’s trading capacity is set every day. The trading capacity can be limited by line work, production in the connection area, overhauls etc.</w:t>
      </w:r>
    </w:p>
    <w:p w14:paraId="37475C8A" w14:textId="77777777" w:rsidR="003D6C35" w:rsidRPr="001C48FB" w:rsidRDefault="003D6C35" w:rsidP="003D6C35">
      <w:pPr>
        <w:pStyle w:val="Blocksatz"/>
        <w:rPr>
          <w:lang w:bidi="ar-QA"/>
        </w:rPr>
      </w:pPr>
      <w:r w:rsidRPr="001C48FB">
        <w:rPr>
          <w:lang w:bidi="ar-QA"/>
        </w:rPr>
        <w:t>Both Parties inform the other Party in good time prior to the relevant calendar day regarding the transmission capacity seen from the respective sides. The values that are the lowest will be the trading capacity.</w:t>
      </w:r>
    </w:p>
    <w:p w14:paraId="47B5FADD" w14:textId="77777777" w:rsidR="003D6C35" w:rsidRPr="001C48FB" w:rsidRDefault="003D6C35" w:rsidP="003D6C35">
      <w:pPr>
        <w:pStyle w:val="Blocksatz"/>
        <w:rPr>
          <w:lang w:bidi="ar-QA"/>
        </w:rPr>
      </w:pPr>
    </w:p>
    <w:p w14:paraId="2B65DD3C" w14:textId="087233FB" w:rsidR="003D6C35" w:rsidRPr="001C48FB" w:rsidRDefault="003D6C35" w:rsidP="00A63356">
      <w:pPr>
        <w:pStyle w:val="Overskrift2"/>
      </w:pPr>
      <w:bookmarkStart w:id="34" w:name="_Toc54868531"/>
      <w:bookmarkStart w:id="35" w:name="_Toc105769355"/>
      <w:r w:rsidRPr="001C48FB">
        <w:t>Operation monitoring and control in respect of system operation</w:t>
      </w:r>
      <w:bookmarkEnd w:id="34"/>
      <w:bookmarkEnd w:id="35"/>
    </w:p>
    <w:p w14:paraId="54FD5A1E" w14:textId="7CBE3D7F" w:rsidR="003D6C35" w:rsidRPr="001C48FB" w:rsidRDefault="003D6C35" w:rsidP="003D6C35">
      <w:pPr>
        <w:pStyle w:val="Blocksatz"/>
        <w:rPr>
          <w:lang w:bidi="ar-QA"/>
        </w:rPr>
      </w:pPr>
      <w:r w:rsidRPr="001C48FB">
        <w:rPr>
          <w:lang w:bidi="ar-QA"/>
        </w:rPr>
        <w:t xml:space="preserve">Operation monitoring and control is carried out from </w:t>
      </w:r>
      <w:proofErr w:type="spellStart"/>
      <w:r w:rsidRPr="001C48FB">
        <w:rPr>
          <w:lang w:bidi="ar-QA"/>
        </w:rPr>
        <w:t>Energinets</w:t>
      </w:r>
      <w:proofErr w:type="spellEnd"/>
      <w:r w:rsidRPr="001C48FB">
        <w:rPr>
          <w:lang w:bidi="ar-QA"/>
        </w:rPr>
        <w:t xml:space="preserve"> Control Centre at </w:t>
      </w:r>
      <w:proofErr w:type="spellStart"/>
      <w:r w:rsidRPr="001C48FB">
        <w:rPr>
          <w:lang w:bidi="ar-QA"/>
        </w:rPr>
        <w:t>Erritsø</w:t>
      </w:r>
      <w:proofErr w:type="spellEnd"/>
      <w:r w:rsidRPr="001C48FB">
        <w:rPr>
          <w:lang w:bidi="ar-QA"/>
        </w:rPr>
        <w:t xml:space="preserve"> and Svenska </w:t>
      </w:r>
      <w:proofErr w:type="spellStart"/>
      <w:r w:rsidRPr="001C48FB">
        <w:rPr>
          <w:lang w:bidi="ar-QA"/>
        </w:rPr>
        <w:t>kraftnät’s</w:t>
      </w:r>
      <w:proofErr w:type="spellEnd"/>
      <w:r w:rsidRPr="001C48FB">
        <w:rPr>
          <w:lang w:bidi="ar-QA"/>
        </w:rPr>
        <w:t xml:space="preserve"> Operations Centre in </w:t>
      </w:r>
      <w:proofErr w:type="spellStart"/>
      <w:r w:rsidRPr="001C48FB">
        <w:rPr>
          <w:lang w:bidi="ar-QA"/>
        </w:rPr>
        <w:t>Sundbyberg</w:t>
      </w:r>
      <w:proofErr w:type="spellEnd"/>
      <w:r w:rsidRPr="001C48FB">
        <w:rPr>
          <w:lang w:bidi="ar-QA"/>
        </w:rPr>
        <w:t>.</w:t>
      </w:r>
    </w:p>
    <w:p w14:paraId="167711EF" w14:textId="77777777" w:rsidR="003D6C35" w:rsidRPr="001C48FB" w:rsidRDefault="003D6C35" w:rsidP="003D6C35">
      <w:pPr>
        <w:pStyle w:val="Blocksatz"/>
        <w:rPr>
          <w:lang w:bidi="ar-QA"/>
        </w:rPr>
      </w:pPr>
    </w:p>
    <w:p w14:paraId="70F7B9EA" w14:textId="605E4E59" w:rsidR="003D6C35" w:rsidRPr="001C48FB" w:rsidRDefault="003D6C35" w:rsidP="00A63356">
      <w:pPr>
        <w:pStyle w:val="Overskrift3"/>
      </w:pPr>
      <w:bookmarkStart w:id="36" w:name="_Toc54868532"/>
      <w:bookmarkStart w:id="37" w:name="_Toc105769356"/>
      <w:r w:rsidRPr="001C48FB">
        <w:t>The power flow and distribution between the poles</w:t>
      </w:r>
      <w:bookmarkEnd w:id="36"/>
      <w:bookmarkEnd w:id="37"/>
    </w:p>
    <w:p w14:paraId="6AA439C5" w14:textId="77777777" w:rsidR="003D6C35" w:rsidRPr="001C48FB" w:rsidRDefault="003D6C35" w:rsidP="003D6C35">
      <w:pPr>
        <w:pStyle w:val="Blocksatz"/>
        <w:rPr>
          <w:lang w:bidi="ar-QA"/>
        </w:rPr>
      </w:pPr>
      <w:proofErr w:type="spellStart"/>
      <w:r w:rsidRPr="001C48FB">
        <w:rPr>
          <w:lang w:bidi="ar-QA"/>
        </w:rPr>
        <w:t>Konti-Skan</w:t>
      </w:r>
      <w:proofErr w:type="spellEnd"/>
      <w:r w:rsidRPr="001C48FB">
        <w:rPr>
          <w:lang w:bidi="ar-QA"/>
        </w:rPr>
        <w:t xml:space="preserve"> 1 and 2 are normally operated in bipolar mode.</w:t>
      </w:r>
    </w:p>
    <w:p w14:paraId="39492CD5" w14:textId="77777777" w:rsidR="003D6C35" w:rsidRPr="001C48FB" w:rsidRDefault="003D6C35" w:rsidP="003D6C35">
      <w:pPr>
        <w:pStyle w:val="Blocksatz"/>
        <w:rPr>
          <w:lang w:bidi="ar-QA"/>
        </w:rPr>
      </w:pPr>
      <w:r w:rsidRPr="001C48FB">
        <w:rPr>
          <w:lang w:bidi="ar-QA"/>
        </w:rPr>
        <w:t>During disturbances and maintenance on one pole, monopolar operation is applied.</w:t>
      </w:r>
    </w:p>
    <w:p w14:paraId="4749C14B" w14:textId="77777777" w:rsidR="003D6C35" w:rsidRPr="001C48FB" w:rsidRDefault="003D6C35" w:rsidP="003D6C35">
      <w:pPr>
        <w:pStyle w:val="Blocksatz"/>
        <w:rPr>
          <w:lang w:bidi="ar-QA"/>
        </w:rPr>
      </w:pPr>
    </w:p>
    <w:p w14:paraId="738932E2" w14:textId="0770287F" w:rsidR="003D6C35" w:rsidRPr="001C48FB" w:rsidRDefault="003D6C35" w:rsidP="00A63356">
      <w:pPr>
        <w:pStyle w:val="Overskrift3"/>
      </w:pPr>
      <w:bookmarkStart w:id="38" w:name="_Toc54868533"/>
      <w:bookmarkStart w:id="39" w:name="_Toc105769357"/>
      <w:r w:rsidRPr="001C48FB">
        <w:lastRenderedPageBreak/>
        <w:t>Regulating the link</w:t>
      </w:r>
      <w:bookmarkEnd w:id="38"/>
      <w:bookmarkEnd w:id="39"/>
    </w:p>
    <w:p w14:paraId="717203BB" w14:textId="54D94FB8" w:rsidR="003D6C35" w:rsidRPr="001C48FB" w:rsidRDefault="003D6C35" w:rsidP="003D6C35">
      <w:pPr>
        <w:pStyle w:val="Blocksatz"/>
        <w:rPr>
          <w:lang w:bidi="ar-QA"/>
        </w:rPr>
      </w:pPr>
      <w:r w:rsidRPr="001C48FB">
        <w:rPr>
          <w:lang w:bidi="ar-QA"/>
        </w:rPr>
        <w:t xml:space="preserve">Regulation of the </w:t>
      </w:r>
      <w:proofErr w:type="spellStart"/>
      <w:r w:rsidRPr="001C48FB">
        <w:rPr>
          <w:lang w:bidi="ar-QA"/>
        </w:rPr>
        <w:t>Konti-Skan</w:t>
      </w:r>
      <w:proofErr w:type="spellEnd"/>
      <w:r w:rsidRPr="001C48FB">
        <w:rPr>
          <w:lang w:bidi="ar-QA"/>
        </w:rPr>
        <w:t xml:space="preserve"> links in accordance with agreed exchange plans will be carried out, until further notice, from the Danish side. </w:t>
      </w:r>
      <w:proofErr w:type="spellStart"/>
      <w:r w:rsidRPr="001C48FB">
        <w:rPr>
          <w:lang w:bidi="ar-QA"/>
        </w:rPr>
        <w:t>Energinets</w:t>
      </w:r>
      <w:proofErr w:type="spellEnd"/>
      <w:r w:rsidRPr="001C48FB">
        <w:rPr>
          <w:lang w:bidi="ar-QA"/>
        </w:rPr>
        <w:t xml:space="preserve"> Control Centre at </w:t>
      </w:r>
      <w:proofErr w:type="spellStart"/>
      <w:r w:rsidRPr="001C48FB">
        <w:rPr>
          <w:lang w:bidi="ar-QA"/>
        </w:rPr>
        <w:t>Erritsø</w:t>
      </w:r>
      <w:proofErr w:type="spellEnd"/>
      <w:r w:rsidRPr="001C48FB">
        <w:rPr>
          <w:lang w:bidi="ar-QA"/>
        </w:rPr>
        <w:t xml:space="preserve"> is responsible for its own balance regulation towards Sweden.</w:t>
      </w:r>
    </w:p>
    <w:p w14:paraId="09EF2C9B" w14:textId="77777777" w:rsidR="003D6C35" w:rsidRPr="001C48FB" w:rsidRDefault="003D6C35" w:rsidP="003D6C35">
      <w:pPr>
        <w:pStyle w:val="Blocksatz"/>
        <w:rPr>
          <w:lang w:bidi="ar-QA"/>
        </w:rPr>
      </w:pPr>
      <w:r w:rsidRPr="001C48FB">
        <w:rPr>
          <w:lang w:bidi="ar-QA"/>
        </w:rPr>
        <w:t>Regulation takes place, in principle, in accordance with a power plan using ramping transitions between different power levels. The plans are issued as power plans in whole MW for each 5 min of plan value. The links are regulated in accordance with this power linearly from power value to power value.</w:t>
      </w:r>
    </w:p>
    <w:p w14:paraId="0110312B" w14:textId="77777777" w:rsidR="003D6C35" w:rsidRPr="001C48FB" w:rsidRDefault="003D6C35" w:rsidP="003D6C35">
      <w:pPr>
        <w:pStyle w:val="Blocksatz"/>
        <w:rPr>
          <w:lang w:bidi="ar-QA"/>
        </w:rPr>
      </w:pPr>
      <w:r w:rsidRPr="001C48FB">
        <w:rPr>
          <w:lang w:bidi="ar-QA"/>
        </w:rPr>
        <w:t xml:space="preserve">The power plan is determined in accordance with the exchange plan for </w:t>
      </w:r>
      <w:proofErr w:type="spellStart"/>
      <w:r w:rsidRPr="001C48FB">
        <w:rPr>
          <w:lang w:bidi="ar-QA"/>
        </w:rPr>
        <w:t>Konti-Skan</w:t>
      </w:r>
      <w:proofErr w:type="spellEnd"/>
      <w:r w:rsidRPr="001C48FB">
        <w:rPr>
          <w:lang w:bidi="ar-QA"/>
        </w:rPr>
        <w:t>.</w:t>
      </w:r>
    </w:p>
    <w:p w14:paraId="653AFADD" w14:textId="77777777" w:rsidR="003D6C35" w:rsidRPr="001C48FB" w:rsidRDefault="003D6C35" w:rsidP="003D6C35">
      <w:pPr>
        <w:pStyle w:val="Blocksatz"/>
        <w:rPr>
          <w:lang w:bidi="ar-QA"/>
        </w:rPr>
      </w:pPr>
    </w:p>
    <w:p w14:paraId="22B6CBA0" w14:textId="1F7723CC" w:rsidR="003D6C35" w:rsidRPr="001C48FB" w:rsidRDefault="003D6C35" w:rsidP="00A63356">
      <w:pPr>
        <w:pStyle w:val="Overskrift2"/>
      </w:pPr>
      <w:bookmarkStart w:id="40" w:name="_Toc54868534"/>
      <w:bookmarkStart w:id="41" w:name="_Toc105769358"/>
      <w:r w:rsidRPr="001C48FB">
        <w:t>Outage planning</w:t>
      </w:r>
      <w:bookmarkEnd w:id="40"/>
      <w:bookmarkEnd w:id="41"/>
    </w:p>
    <w:p w14:paraId="17AAF207" w14:textId="77777777" w:rsidR="003D6C35" w:rsidRPr="001C48FB" w:rsidRDefault="003D6C35" w:rsidP="003D6C35">
      <w:pPr>
        <w:pStyle w:val="Blocksatz"/>
        <w:rPr>
          <w:lang w:bidi="ar-QA"/>
        </w:rPr>
      </w:pPr>
      <w:r w:rsidRPr="001C48FB">
        <w:rPr>
          <w:lang w:bidi="ar-QA"/>
        </w:rPr>
        <w:t xml:space="preserve">The Parties shall, in consultation, plan outages on the link itself and on their own networks when these outages impact upon the transmission capacity of the link. </w:t>
      </w:r>
    </w:p>
    <w:p w14:paraId="540EF53A" w14:textId="5B3CD7EF" w:rsidR="003D6C35" w:rsidRPr="001C48FB" w:rsidRDefault="003D6C35" w:rsidP="003D6C35">
      <w:pPr>
        <w:pStyle w:val="Blocksatz"/>
        <w:rPr>
          <w:lang w:bidi="ar-QA"/>
        </w:rPr>
      </w:pPr>
      <w:r w:rsidRPr="001C48FB">
        <w:rPr>
          <w:lang w:bidi="ar-QA"/>
        </w:rPr>
        <w:t xml:space="preserve">Operational planning and maintenance are co-ordinated between Svenska </w:t>
      </w:r>
      <w:proofErr w:type="spellStart"/>
      <w:r w:rsidRPr="001C48FB">
        <w:rPr>
          <w:lang w:bidi="ar-QA"/>
        </w:rPr>
        <w:t>kraftnät’s</w:t>
      </w:r>
      <w:proofErr w:type="spellEnd"/>
      <w:r w:rsidRPr="001C48FB">
        <w:rPr>
          <w:lang w:bidi="ar-QA"/>
        </w:rPr>
        <w:t xml:space="preserve"> Operational Department and </w:t>
      </w:r>
      <w:proofErr w:type="spellStart"/>
      <w:r w:rsidRPr="001C48FB">
        <w:rPr>
          <w:lang w:bidi="ar-QA"/>
        </w:rPr>
        <w:t>Energinets</w:t>
      </w:r>
      <w:proofErr w:type="spellEnd"/>
      <w:r w:rsidRPr="001C48FB">
        <w:rPr>
          <w:lang w:bidi="ar-QA"/>
        </w:rPr>
        <w:t xml:space="preserve"> Control Centre at </w:t>
      </w:r>
      <w:proofErr w:type="spellStart"/>
      <w:r w:rsidRPr="001C48FB">
        <w:rPr>
          <w:lang w:bidi="ar-QA"/>
        </w:rPr>
        <w:t>Erritsø</w:t>
      </w:r>
      <w:proofErr w:type="spellEnd"/>
      <w:r w:rsidRPr="001C48FB">
        <w:rPr>
          <w:lang w:bidi="ar-QA"/>
        </w:rPr>
        <w:t>.</w:t>
      </w:r>
    </w:p>
    <w:p w14:paraId="7943C524" w14:textId="77777777" w:rsidR="003D6C35" w:rsidRPr="001C48FB" w:rsidRDefault="003D6C35" w:rsidP="003D6C35">
      <w:pPr>
        <w:pStyle w:val="Blocksatz"/>
        <w:rPr>
          <w:lang w:bidi="ar-QA"/>
        </w:rPr>
      </w:pPr>
      <w:r w:rsidRPr="001C48FB">
        <w:rPr>
          <w:lang w:bidi="ar-QA"/>
        </w:rPr>
        <w:t>Overhaul planning is co-ordinated with the other HVDC links in the Nordic area.</w:t>
      </w:r>
    </w:p>
    <w:p w14:paraId="37EEFC20" w14:textId="77777777" w:rsidR="003D6C35" w:rsidRPr="001C48FB" w:rsidRDefault="003D6C35" w:rsidP="003D6C35">
      <w:pPr>
        <w:pStyle w:val="Blocksatz"/>
        <w:rPr>
          <w:lang w:bidi="ar-QA"/>
        </w:rPr>
      </w:pPr>
    </w:p>
    <w:p w14:paraId="664B2FD0" w14:textId="7621B307" w:rsidR="003D6C35" w:rsidRPr="001C48FB" w:rsidRDefault="003D6C35" w:rsidP="00A63356">
      <w:pPr>
        <w:pStyle w:val="Overskrift2"/>
      </w:pPr>
      <w:bookmarkStart w:id="42" w:name="_Toc54868535"/>
      <w:bookmarkStart w:id="43" w:name="_Toc105769359"/>
      <w:r w:rsidRPr="001C48FB">
        <w:t>System protection - emergency power</w:t>
      </w:r>
      <w:bookmarkEnd w:id="42"/>
      <w:bookmarkEnd w:id="43"/>
    </w:p>
    <w:p w14:paraId="6B1F24B6" w14:textId="74EF8F3E" w:rsidR="003D6C35" w:rsidRPr="001C48FB" w:rsidRDefault="003D6C35" w:rsidP="00A63356">
      <w:pPr>
        <w:pStyle w:val="Overskrift3"/>
      </w:pPr>
      <w:bookmarkStart w:id="44" w:name="_Toc54868536"/>
      <w:bookmarkStart w:id="45" w:name="_Toc105769360"/>
      <w:r w:rsidRPr="001C48FB">
        <w:t>General</w:t>
      </w:r>
      <w:bookmarkEnd w:id="44"/>
      <w:bookmarkEnd w:id="45"/>
    </w:p>
    <w:p w14:paraId="24D0468A" w14:textId="77777777" w:rsidR="003D6C35" w:rsidRPr="001C48FB" w:rsidRDefault="003D6C35" w:rsidP="003D6C35">
      <w:pPr>
        <w:pStyle w:val="Blocksatz"/>
        <w:rPr>
          <w:b/>
          <w:lang w:bidi="ar-QA"/>
        </w:rPr>
      </w:pPr>
      <w:r w:rsidRPr="001C48FB">
        <w:rPr>
          <w:lang w:bidi="ar-QA"/>
        </w:rPr>
        <w:t xml:space="preserve">The </w:t>
      </w:r>
      <w:proofErr w:type="spellStart"/>
      <w:r w:rsidRPr="001C48FB">
        <w:rPr>
          <w:lang w:bidi="ar-QA"/>
        </w:rPr>
        <w:t>Konti-Skan</w:t>
      </w:r>
      <w:proofErr w:type="spellEnd"/>
      <w:r w:rsidRPr="001C48FB">
        <w:rPr>
          <w:lang w:bidi="ar-QA"/>
        </w:rPr>
        <w:t xml:space="preserve"> link is of major importance to Sweden and Denmark and outages due to disturbances thus generally entail major economic losses. In the event of operational disturbances, measures in accordance with issued instructions shall, as soon as possible, restore the link to normal state.</w:t>
      </w:r>
    </w:p>
    <w:p w14:paraId="54ADADFE" w14:textId="77777777" w:rsidR="003D6C35" w:rsidRPr="001C48FB" w:rsidRDefault="003D6C35" w:rsidP="003D6C35">
      <w:pPr>
        <w:pStyle w:val="Blocksatz"/>
        <w:rPr>
          <w:b/>
          <w:lang w:bidi="ar-QA"/>
        </w:rPr>
      </w:pPr>
      <w:r w:rsidRPr="001C48FB">
        <w:rPr>
          <w:lang w:bidi="ar-QA"/>
        </w:rPr>
        <w:t xml:space="preserve">Automated operational disturbance systems are installed at </w:t>
      </w:r>
      <w:proofErr w:type="spellStart"/>
      <w:r w:rsidRPr="001C48FB">
        <w:rPr>
          <w:lang w:bidi="ar-QA"/>
        </w:rPr>
        <w:t>Lindomen</w:t>
      </w:r>
      <w:proofErr w:type="spellEnd"/>
      <w:r w:rsidRPr="001C48FB">
        <w:rPr>
          <w:lang w:bidi="ar-QA"/>
        </w:rPr>
        <w:t xml:space="preserve"> and Vester </w:t>
      </w:r>
      <w:proofErr w:type="spellStart"/>
      <w:r w:rsidRPr="001C48FB">
        <w:rPr>
          <w:lang w:bidi="ar-QA"/>
        </w:rPr>
        <w:t>Hassing</w:t>
      </w:r>
      <w:proofErr w:type="spellEnd"/>
      <w:r w:rsidRPr="001C48FB">
        <w:rPr>
          <w:lang w:bidi="ar-QA"/>
        </w:rPr>
        <w:t xml:space="preserve"> which can begin to function during operational disturbances on the Swedish or Jutland networks.</w:t>
      </w:r>
    </w:p>
    <w:p w14:paraId="25F8C390" w14:textId="77777777" w:rsidR="003D6C35" w:rsidRPr="001C48FB" w:rsidRDefault="003D6C35" w:rsidP="003D6C35">
      <w:pPr>
        <w:pStyle w:val="Blocksatz"/>
        <w:rPr>
          <w:b/>
          <w:lang w:bidi="ar-QA"/>
        </w:rPr>
      </w:pPr>
    </w:p>
    <w:p w14:paraId="5373406E" w14:textId="087F845D" w:rsidR="003D6C35" w:rsidRPr="001C48FB" w:rsidRDefault="0006322B" w:rsidP="00A63356">
      <w:pPr>
        <w:pStyle w:val="Overskrift3"/>
      </w:pPr>
      <w:bookmarkStart w:id="46" w:name="_Toc54868537"/>
      <w:bookmarkStart w:id="47" w:name="_Toc105769361"/>
      <w:r w:rsidRPr="001C48FB">
        <w:t>Delta power control, DPC1-4</w:t>
      </w:r>
      <w:bookmarkEnd w:id="46"/>
      <w:bookmarkEnd w:id="47"/>
    </w:p>
    <w:p w14:paraId="077BA2FE" w14:textId="54E88A66" w:rsidR="003D6C35" w:rsidRPr="001C48FB" w:rsidRDefault="0006322B" w:rsidP="003D6C35">
      <w:pPr>
        <w:pStyle w:val="Blocksatz"/>
        <w:rPr>
          <w:lang w:bidi="ar-QA"/>
        </w:rPr>
      </w:pPr>
      <w:r w:rsidRPr="001C48FB">
        <w:rPr>
          <w:lang w:bidi="ar-QA"/>
        </w:rPr>
        <w:t xml:space="preserve">Delta Power </w:t>
      </w:r>
      <w:proofErr w:type="gramStart"/>
      <w:r w:rsidRPr="001C48FB">
        <w:rPr>
          <w:lang w:bidi="ar-QA"/>
        </w:rPr>
        <w:t xml:space="preserve">control </w:t>
      </w:r>
      <w:r w:rsidR="003D6C35" w:rsidRPr="001C48FB">
        <w:rPr>
          <w:lang w:bidi="ar-QA"/>
        </w:rPr>
        <w:t xml:space="preserve"> is</w:t>
      </w:r>
      <w:proofErr w:type="gramEnd"/>
      <w:r w:rsidR="003D6C35" w:rsidRPr="001C48FB">
        <w:rPr>
          <w:lang w:bidi="ar-QA"/>
        </w:rPr>
        <w:t xml:space="preserve"> regulating measures which are initiated manually (manual </w:t>
      </w:r>
      <w:r w:rsidRPr="001C48FB">
        <w:rPr>
          <w:lang w:bidi="ar-QA"/>
        </w:rPr>
        <w:t>DPC</w:t>
      </w:r>
      <w:r w:rsidR="003D6C35" w:rsidRPr="001C48FB">
        <w:rPr>
          <w:lang w:bidi="ar-QA"/>
        </w:rPr>
        <w:t xml:space="preserve">) </w:t>
      </w:r>
    </w:p>
    <w:p w14:paraId="610D744A" w14:textId="6E9F45BC" w:rsidR="003D6C35" w:rsidRPr="001C48FB" w:rsidRDefault="003D6C35" w:rsidP="003D6C35">
      <w:pPr>
        <w:pStyle w:val="Blocksatz"/>
        <w:rPr>
          <w:lang w:bidi="ar-QA"/>
        </w:rPr>
      </w:pPr>
      <w:r w:rsidRPr="001C48FB">
        <w:rPr>
          <w:lang w:bidi="ar-QA"/>
        </w:rPr>
        <w:t xml:space="preserve">On the Western Danish side, </w:t>
      </w:r>
      <w:proofErr w:type="spellStart"/>
      <w:r w:rsidRPr="001C48FB">
        <w:rPr>
          <w:lang w:bidi="ar-QA"/>
        </w:rPr>
        <w:t>Energinets</w:t>
      </w:r>
      <w:proofErr w:type="spellEnd"/>
      <w:r w:rsidRPr="001C48FB">
        <w:rPr>
          <w:lang w:bidi="ar-QA"/>
        </w:rPr>
        <w:t xml:space="preserve"> Control Centre at </w:t>
      </w:r>
      <w:proofErr w:type="spellStart"/>
      <w:r w:rsidRPr="001C48FB">
        <w:rPr>
          <w:lang w:bidi="ar-QA"/>
        </w:rPr>
        <w:t>Erritsø</w:t>
      </w:r>
      <w:proofErr w:type="spellEnd"/>
      <w:r w:rsidRPr="001C48FB">
        <w:rPr>
          <w:lang w:bidi="ar-QA"/>
        </w:rPr>
        <w:t xml:space="preserve"> has the right to initiate </w:t>
      </w:r>
      <w:r w:rsidR="0006322B" w:rsidRPr="001C48FB">
        <w:rPr>
          <w:lang w:bidi="ar-QA"/>
        </w:rPr>
        <w:t>Delta power controls</w:t>
      </w:r>
      <w:r w:rsidRPr="001C48FB">
        <w:rPr>
          <w:lang w:bidi="ar-QA"/>
        </w:rPr>
        <w:t xml:space="preserve"> in the event of disturbances to the power balance or transmission</w:t>
      </w:r>
      <w:r w:rsidR="0006322B" w:rsidRPr="001C48FB">
        <w:rPr>
          <w:lang w:bidi="ar-QA"/>
        </w:rPr>
        <w:t xml:space="preserve"> </w:t>
      </w:r>
      <w:r w:rsidRPr="001C48FB">
        <w:rPr>
          <w:lang w:bidi="ar-QA"/>
        </w:rPr>
        <w:t>network.</w:t>
      </w:r>
      <w:r w:rsidRPr="001C48FB">
        <w:br/>
      </w:r>
      <w:r w:rsidRPr="001C48FB">
        <w:rPr>
          <w:lang w:bidi="ar-QA"/>
        </w:rPr>
        <w:t xml:space="preserve"> On the Swedish side, Svenska </w:t>
      </w:r>
      <w:proofErr w:type="spellStart"/>
      <w:r w:rsidRPr="001C48FB">
        <w:rPr>
          <w:lang w:bidi="ar-QA"/>
        </w:rPr>
        <w:t>kraftnät</w:t>
      </w:r>
      <w:proofErr w:type="spellEnd"/>
      <w:r w:rsidRPr="001C48FB">
        <w:rPr>
          <w:lang w:bidi="ar-QA"/>
        </w:rPr>
        <w:t xml:space="preserve"> has the right to initiate </w:t>
      </w:r>
      <w:r w:rsidR="0006322B" w:rsidRPr="001C48FB">
        <w:rPr>
          <w:lang w:bidi="ar-QA"/>
        </w:rPr>
        <w:t>Delta Power Controls</w:t>
      </w:r>
      <w:r w:rsidRPr="001C48FB">
        <w:rPr>
          <w:lang w:bidi="ar-QA"/>
        </w:rPr>
        <w:t xml:space="preserve"> in the event of disturbances to the power balance or transmission network.</w:t>
      </w:r>
    </w:p>
    <w:p w14:paraId="316C2F53" w14:textId="6F432452" w:rsidR="003D6C35" w:rsidRPr="00CE2A93" w:rsidRDefault="0006322B" w:rsidP="003D6C35">
      <w:pPr>
        <w:pStyle w:val="Blocksatz"/>
        <w:rPr>
          <w:lang w:bidi="ar-QA"/>
        </w:rPr>
      </w:pPr>
      <w:r w:rsidRPr="001C48FB">
        <w:rPr>
          <w:lang w:bidi="ar-QA"/>
        </w:rPr>
        <w:t>Delta Power controls</w:t>
      </w:r>
      <w:r w:rsidR="003D6C35" w:rsidRPr="001C48FB">
        <w:rPr>
          <w:lang w:bidi="ar-QA"/>
        </w:rPr>
        <w:t xml:space="preserve"> of less than 100 MW and 100 MWh/calendar day may be activated without previous notification. Prior to activation over and above this, notification and approval shall take</w:t>
      </w:r>
      <w:r w:rsidR="003D6C35" w:rsidRPr="72BD739D">
        <w:rPr>
          <w:lang w:bidi="ar-QA"/>
        </w:rPr>
        <w:t xml:space="preserve"> </w:t>
      </w:r>
      <w:r w:rsidR="003D6C35" w:rsidRPr="00CE2A93">
        <w:rPr>
          <w:lang w:bidi="ar-QA"/>
        </w:rPr>
        <w:lastRenderedPageBreak/>
        <w:t xml:space="preserve">place between the staff of </w:t>
      </w:r>
      <w:proofErr w:type="spellStart"/>
      <w:r w:rsidR="003D6C35" w:rsidRPr="00CE2A93">
        <w:rPr>
          <w:lang w:bidi="ar-QA"/>
        </w:rPr>
        <w:t>Energinets</w:t>
      </w:r>
      <w:proofErr w:type="spellEnd"/>
      <w:r w:rsidR="003D6C35" w:rsidRPr="00CE2A93">
        <w:rPr>
          <w:lang w:bidi="ar-QA"/>
        </w:rPr>
        <w:t xml:space="preserve"> Control Centre at </w:t>
      </w:r>
      <w:proofErr w:type="spellStart"/>
      <w:r w:rsidR="003D6C35" w:rsidRPr="00CE2A93">
        <w:rPr>
          <w:lang w:bidi="ar-QA"/>
        </w:rPr>
        <w:t>Erritsø</w:t>
      </w:r>
      <w:proofErr w:type="spellEnd"/>
      <w:r w:rsidR="003D6C35" w:rsidRPr="00CE2A93">
        <w:rPr>
          <w:lang w:bidi="ar-QA"/>
        </w:rPr>
        <w:t xml:space="preserve"> and </w:t>
      </w:r>
      <w:proofErr w:type="spellStart"/>
      <w:r w:rsidR="003D6C35" w:rsidRPr="00CE2A93">
        <w:rPr>
          <w:lang w:bidi="ar-QA"/>
        </w:rPr>
        <w:t>SvK</w:t>
      </w:r>
      <w:proofErr w:type="spellEnd"/>
      <w:r w:rsidR="003D6C35" w:rsidRPr="00CE2A93">
        <w:rPr>
          <w:lang w:bidi="ar-QA"/>
        </w:rPr>
        <w:t xml:space="preserve">-VHI at Network Control at </w:t>
      </w:r>
      <w:proofErr w:type="spellStart"/>
      <w:r w:rsidR="003D6C35" w:rsidRPr="00CE2A93">
        <w:rPr>
          <w:lang w:bidi="ar-QA"/>
        </w:rPr>
        <w:t>Sundbyberg</w:t>
      </w:r>
      <w:proofErr w:type="spellEnd"/>
      <w:r w:rsidR="003D6C35" w:rsidRPr="00CE2A93">
        <w:rPr>
          <w:lang w:bidi="ar-QA"/>
        </w:rPr>
        <w:t>.</w:t>
      </w:r>
    </w:p>
    <w:p w14:paraId="1E605474" w14:textId="77777777" w:rsidR="003D6C35" w:rsidRPr="00CE2A93" w:rsidRDefault="003D6C35" w:rsidP="003D6C35">
      <w:pPr>
        <w:pStyle w:val="Blocksatz"/>
        <w:rPr>
          <w:lang w:bidi="ar-QA"/>
        </w:rPr>
      </w:pPr>
    </w:p>
    <w:p w14:paraId="70949CB0" w14:textId="0BA1EBBD" w:rsidR="003D6C35" w:rsidRPr="00CE2A93" w:rsidRDefault="0006322B" w:rsidP="00A63356">
      <w:pPr>
        <w:pStyle w:val="Overskrift3"/>
      </w:pPr>
      <w:bookmarkStart w:id="48" w:name="_Toc54868538"/>
      <w:bookmarkStart w:id="49" w:name="_Toc105769362"/>
      <w:r w:rsidRPr="00CE2A93">
        <w:t xml:space="preserve">Emergency power (EPC) and </w:t>
      </w:r>
      <w:r w:rsidR="003D6C35" w:rsidRPr="00CE2A93">
        <w:t>System protection</w:t>
      </w:r>
      <w:bookmarkEnd w:id="48"/>
      <w:bookmarkEnd w:id="49"/>
    </w:p>
    <w:p w14:paraId="104BEEC5" w14:textId="77777777" w:rsidR="003D6C35" w:rsidRPr="00CE2A93" w:rsidRDefault="003D6C35" w:rsidP="003D6C35">
      <w:pPr>
        <w:pStyle w:val="Blocksatz"/>
        <w:rPr>
          <w:lang w:bidi="ar-QA"/>
        </w:rPr>
      </w:pPr>
      <w:r w:rsidRPr="00CE2A93">
        <w:rPr>
          <w:lang w:bidi="ar-QA"/>
        </w:rPr>
        <w:t xml:space="preserve">At the DC facilities, system protection is installed in the form of an emergency power function. Activation criteria for emergency power can be </w:t>
      </w:r>
      <w:proofErr w:type="gramStart"/>
      <w:r w:rsidRPr="00CE2A93">
        <w:rPr>
          <w:lang w:bidi="ar-QA"/>
        </w:rPr>
        <w:t>locally-measured</w:t>
      </w:r>
      <w:proofErr w:type="gramEnd"/>
      <w:r w:rsidRPr="00CE2A93">
        <w:rPr>
          <w:lang w:bidi="ar-QA"/>
        </w:rPr>
        <w:t xml:space="preserve"> frequency and voltage or via telecommunications on the basis of a supplied signal. In the event of activation, any ongoing normal regulation will be interrupted. Activation over and above the agreed limits and regulation back to plan may not occur until the counterparty has approved this. (See further in Appendix 5 – System protection).</w:t>
      </w:r>
    </w:p>
    <w:p w14:paraId="2D8D63DF" w14:textId="77777777" w:rsidR="003D6C35" w:rsidRPr="00CE2A93" w:rsidRDefault="003D6C35" w:rsidP="003D6C35">
      <w:pPr>
        <w:pStyle w:val="Blocksatz"/>
        <w:rPr>
          <w:lang w:bidi="ar-QA"/>
        </w:rPr>
      </w:pPr>
    </w:p>
    <w:p w14:paraId="243D32B6" w14:textId="05405DFC" w:rsidR="003D6C35" w:rsidRPr="00CE2A93" w:rsidRDefault="003D6C35" w:rsidP="00A63356">
      <w:pPr>
        <w:pStyle w:val="Overskrift1"/>
      </w:pPr>
      <w:bookmarkStart w:id="50" w:name="_Toc54868539"/>
      <w:bookmarkStart w:id="51" w:name="_Toc105769363"/>
      <w:r w:rsidRPr="00CE2A93">
        <w:t>Miscellaneous</w:t>
      </w:r>
      <w:bookmarkEnd w:id="50"/>
      <w:bookmarkEnd w:id="51"/>
    </w:p>
    <w:p w14:paraId="5B300660" w14:textId="329F24FA" w:rsidR="003D6C35" w:rsidRPr="00CE2A93" w:rsidRDefault="003D6C35" w:rsidP="00A63356">
      <w:pPr>
        <w:pStyle w:val="Overskrift2"/>
      </w:pPr>
      <w:bookmarkStart w:id="52" w:name="_Toc54868540"/>
      <w:bookmarkStart w:id="53" w:name="_Toc105769364"/>
      <w:r w:rsidRPr="00CE2A93">
        <w:t>System services</w:t>
      </w:r>
      <w:bookmarkEnd w:id="52"/>
      <w:bookmarkEnd w:id="53"/>
    </w:p>
    <w:p w14:paraId="09003EA9" w14:textId="0E938FDC" w:rsidR="003D6C35" w:rsidRPr="00CE2A93" w:rsidRDefault="003D6C35" w:rsidP="00A63356">
      <w:pPr>
        <w:pStyle w:val="Overskrift3"/>
      </w:pPr>
      <w:bookmarkStart w:id="54" w:name="_Toc54868541"/>
      <w:bookmarkStart w:id="55" w:name="_Toc105769365"/>
      <w:r w:rsidRPr="00CE2A93">
        <w:t>Transmission scope for operation reserves</w:t>
      </w:r>
      <w:bookmarkEnd w:id="54"/>
      <w:bookmarkEnd w:id="55"/>
    </w:p>
    <w:p w14:paraId="6970933D" w14:textId="77777777" w:rsidR="003D6C35" w:rsidRPr="00CE2A93" w:rsidRDefault="003D6C35" w:rsidP="003D6C35">
      <w:pPr>
        <w:pStyle w:val="Blocksatz"/>
        <w:rPr>
          <w:lang w:bidi="ar-QA"/>
        </w:rPr>
      </w:pPr>
      <w:r w:rsidRPr="00CE2A93">
        <w:rPr>
          <w:lang w:bidi="ar-QA"/>
        </w:rPr>
        <w:t>Available transmission capacity can be used for the automatic or manual activation of operational reserves.</w:t>
      </w:r>
    </w:p>
    <w:p w14:paraId="49F5F3AB" w14:textId="39C84FFF" w:rsidR="003D6C35" w:rsidRPr="00CE2A93" w:rsidRDefault="00CE2A93" w:rsidP="003D6C35">
      <w:pPr>
        <w:pStyle w:val="Blocksatz"/>
        <w:rPr>
          <w:lang w:bidi="ar-QA"/>
        </w:rPr>
      </w:pPr>
      <w:r>
        <w:rPr>
          <w:lang w:bidi="ar-QA"/>
        </w:rPr>
        <w:t xml:space="preserve">Both Svenska </w:t>
      </w:r>
      <w:proofErr w:type="spellStart"/>
      <w:r>
        <w:rPr>
          <w:lang w:bidi="ar-QA"/>
        </w:rPr>
        <w:t>kraftn</w:t>
      </w:r>
      <w:r w:rsidR="00E5684A">
        <w:rPr>
          <w:lang w:bidi="ar-QA"/>
        </w:rPr>
        <w:t>ä</w:t>
      </w:r>
      <w:r>
        <w:rPr>
          <w:lang w:bidi="ar-QA"/>
        </w:rPr>
        <w:t>t</w:t>
      </w:r>
      <w:proofErr w:type="spellEnd"/>
      <w:r>
        <w:rPr>
          <w:lang w:bidi="ar-QA"/>
        </w:rPr>
        <w:t xml:space="preserve"> and Energinet</w:t>
      </w:r>
      <w:r w:rsidR="003D6C35" w:rsidRPr="00CE2A93">
        <w:rPr>
          <w:lang w:bidi="ar-QA"/>
        </w:rPr>
        <w:t xml:space="preserve"> have the right to utilize idle transmission capacity after </w:t>
      </w:r>
      <w:proofErr w:type="spellStart"/>
      <w:r w:rsidR="003D6C35" w:rsidRPr="00CE2A93">
        <w:rPr>
          <w:lang w:bidi="ar-QA"/>
        </w:rPr>
        <w:t>Elspot</w:t>
      </w:r>
      <w:proofErr w:type="spellEnd"/>
      <w:r w:rsidR="003D6C35" w:rsidRPr="00CE2A93">
        <w:rPr>
          <w:lang w:bidi="ar-QA"/>
        </w:rPr>
        <w:t xml:space="preserve"> trading and XBID </w:t>
      </w:r>
      <w:r w:rsidR="003D0F89" w:rsidRPr="00CE2A93">
        <w:rPr>
          <w:lang w:bidi="ar-QA"/>
        </w:rPr>
        <w:t xml:space="preserve">trading </w:t>
      </w:r>
      <w:r w:rsidR="003D6C35" w:rsidRPr="00CE2A93">
        <w:rPr>
          <w:lang w:bidi="ar-QA"/>
        </w:rPr>
        <w:t>for the transmission of system services. Configuration values, power limits etc. are agreed upon bilaterally.</w:t>
      </w:r>
    </w:p>
    <w:p w14:paraId="63FE51A3" w14:textId="77777777" w:rsidR="003D6C35" w:rsidRPr="003D6C35" w:rsidRDefault="003D6C35" w:rsidP="003D6C35">
      <w:pPr>
        <w:pStyle w:val="Blocksatz"/>
        <w:rPr>
          <w:lang w:bidi="ar-QA"/>
        </w:rPr>
      </w:pPr>
    </w:p>
    <w:sectPr w:rsidR="003D6C35" w:rsidRPr="003D6C35" w:rsidSect="003C72B7">
      <w:footerReference w:type="default" r:id="rId25"/>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8CE5" w14:textId="77777777" w:rsidR="00C63559" w:rsidRDefault="00C63559" w:rsidP="00C404FC">
      <w:r>
        <w:separator/>
      </w:r>
    </w:p>
  </w:endnote>
  <w:endnote w:type="continuationSeparator" w:id="0">
    <w:p w14:paraId="15FB8848" w14:textId="77777777" w:rsidR="00C63559" w:rsidRDefault="00C63559" w:rsidP="00C404FC">
      <w:r>
        <w:continuationSeparator/>
      </w:r>
    </w:p>
  </w:endnote>
  <w:endnote w:type="continuationNotice" w:id="1">
    <w:p w14:paraId="6009C807" w14:textId="77777777" w:rsidR="00C63559" w:rsidRDefault="00C63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3179" w14:textId="77777777" w:rsidR="00420108" w:rsidRDefault="004201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77777777" w:rsidR="00597392" w:rsidRPr="002823AA" w:rsidRDefault="00597392" w:rsidP="00C404FC">
    <w:pPr>
      <w:pStyle w:val="Fusszeil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4D30" w14:textId="77777777" w:rsidR="00420108" w:rsidRDefault="0042010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597392" w:rsidRPr="002823AA" w:rsidRDefault="00597392" w:rsidP="00C404FC">
    <w:pPr>
      <w:pStyle w:val="Fusszeile2"/>
    </w:pPr>
    <w:r>
      <w:rPr>
        <w:lang w:val="de-DE" w:eastAsia="de-DE"/>
      </w:rPr>
      <mc:AlternateContent>
        <mc:Choice Requires="wps">
          <w:drawing>
            <wp:anchor distT="0" distB="0" distL="114300" distR="114300" simplePos="0" relativeHeight="251658242"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1A863D70" w:rsidR="00597392" w:rsidRPr="00830BAE" w:rsidRDefault="00597392"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Pr>
                              <w:rStyle w:val="Sidetall"/>
                              <w:noProof/>
                            </w:rPr>
                            <w:t>7</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Text Box 37" o:spid="_x0000_s1027" type="#_x0000_t202" style="position:absolute;left:0;text-align:left;margin-left:122.3pt;margin-top:0;width:173.5pt;height:64.3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A8AEAAMo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" stroked="f">
              <v:textbox>
                <w:txbxContent>
                  <w:p w14:paraId="17E9A1BD" w14:textId="1A863D70" w:rsidR="00597392" w:rsidRPr="00830BAE" w:rsidRDefault="00597392"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Pr>
                        <w:rStyle w:val="Sidetal"/>
                        <w:noProof/>
                      </w:rPr>
                      <w:t>7</w:t>
                    </w:r>
                    <w:r>
                      <w:rPr>
                        <w:rStyle w:val="Sidetal"/>
                      </w:rPr>
                      <w:fldChar w:fldCharType="end"/>
                    </w:r>
                  </w:p>
                </w:txbxContent>
              </v:textbox>
              <w10:wrap type="square" anchorx="margin" anchory="margin"/>
            </v:shape>
          </w:pict>
        </mc:Fallback>
      </mc:AlternateContent>
    </w:r>
    <w:r>
      <w:rPr>
        <w:lang w:val="de-DE" w:eastAsia="de-DE"/>
      </w:rPr>
      <mc:AlternateContent>
        <mc:Choice Requires="wps">
          <w:drawing>
            <wp:anchor distT="0" distB="0" distL="114300" distR="114300" simplePos="0" relativeHeight="251658241"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Bunntekst"/>
                          </w:pPr>
                          <w:r w:rsidRPr="006A1DCE">
                            <w:t xml:space="preserve">E-BRIDGE       </w:t>
                          </w:r>
                        </w:p>
                        <w:p w14:paraId="3D0A5AA2" w14:textId="77777777" w:rsidR="00597392" w:rsidRPr="002823AA" w:rsidRDefault="00597392" w:rsidP="00C404FC">
                          <w:pPr>
                            <w:pStyle w:val="Bunntekst"/>
                          </w:pPr>
                          <w:r w:rsidRPr="002823AA">
                            <w:t xml:space="preserve">CONSULTING GMBH </w:t>
                          </w:r>
                        </w:p>
                        <w:p w14:paraId="5143DC51" w14:textId="77777777" w:rsidR="00597392" w:rsidRDefault="00597392"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Text Box 7" o:spid="_x0000_s1028" type="#_x0000_t202" style="position:absolute;left:0;text-align:left;margin-left:563.7pt;margin-top:-3.8pt;width:117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Sidefod"/>
                    </w:pPr>
                    <w:r w:rsidRPr="006A1DCE">
                      <w:t xml:space="preserve">E-BRIDGE       </w:t>
                    </w:r>
                  </w:p>
                  <w:p w14:paraId="3D0A5AA2" w14:textId="77777777" w:rsidR="00597392" w:rsidRPr="002823AA" w:rsidRDefault="00597392" w:rsidP="00C404FC">
                    <w:pPr>
                      <w:pStyle w:val="Sidefod"/>
                    </w:pPr>
                    <w:r w:rsidRPr="002823AA">
                      <w:t xml:space="preserve">CONSULTING GMBH </w:t>
                    </w:r>
                  </w:p>
                  <w:p w14:paraId="5143DC51" w14:textId="77777777" w:rsidR="00597392" w:rsidRDefault="00597392"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33F7" w14:textId="77777777" w:rsidR="00C63559" w:rsidRDefault="00C63559" w:rsidP="00C404FC">
      <w:r>
        <w:separator/>
      </w:r>
    </w:p>
  </w:footnote>
  <w:footnote w:type="continuationSeparator" w:id="0">
    <w:p w14:paraId="7A48CDBF" w14:textId="77777777" w:rsidR="00C63559" w:rsidRDefault="00C63559" w:rsidP="00C404FC">
      <w:r>
        <w:continuationSeparator/>
      </w:r>
    </w:p>
  </w:footnote>
  <w:footnote w:type="continuationNotice" w:id="1">
    <w:p w14:paraId="5DD6B9BC" w14:textId="77777777" w:rsidR="00C63559" w:rsidRDefault="00C63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310" w14:textId="77777777" w:rsidR="00420108" w:rsidRDefault="0042010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59E4" w14:textId="77777777" w:rsidR="00420108" w:rsidRDefault="0042010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3108" w14:textId="77777777" w:rsidR="00420108" w:rsidRDefault="004201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CF5303"/>
    <w:multiLevelType w:val="multilevel"/>
    <w:tmpl w:val="D27C6A0E"/>
    <w:numStyleLink w:val="GliederungAufzNum"/>
  </w:abstractNum>
  <w:abstractNum w:abstractNumId="8" w15:restartNumberingAfterBreak="0">
    <w:nsid w:val="1F1F103A"/>
    <w:multiLevelType w:val="hybridMultilevel"/>
    <w:tmpl w:val="679E9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9C1585"/>
    <w:multiLevelType w:val="hybridMultilevel"/>
    <w:tmpl w:val="63E49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5"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6" w15:restartNumberingAfterBreak="0">
    <w:nsid w:val="368F584D"/>
    <w:multiLevelType w:val="hybridMultilevel"/>
    <w:tmpl w:val="F2983B42"/>
    <w:lvl w:ilvl="0" w:tplc="D110F1C6">
      <w:numFmt w:val="bullet"/>
      <w:lvlText w:val="-"/>
      <w:lvlJc w:val="left"/>
      <w:pPr>
        <w:ind w:left="720" w:hanging="360"/>
      </w:pPr>
      <w:rPr>
        <w:rFonts w:ascii="Segoe UI Light" w:eastAsiaTheme="minorHAnsi"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2" w15:restartNumberingAfterBreak="0">
    <w:nsid w:val="6DFB067F"/>
    <w:multiLevelType w:val="hybridMultilevel"/>
    <w:tmpl w:val="D7A2E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5"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7" w15:restartNumberingAfterBreak="0">
    <w:nsid w:val="7F8E4411"/>
    <w:multiLevelType w:val="singleLevel"/>
    <w:tmpl w:val="04070001"/>
    <w:lvl w:ilvl="0">
      <w:start w:val="1"/>
      <w:numFmt w:val="bullet"/>
      <w:lvlText w:val=""/>
      <w:lvlJc w:val="left"/>
      <w:pPr>
        <w:ind w:left="360" w:hanging="360"/>
      </w:pPr>
      <w:rPr>
        <w:rFonts w:ascii="Symbol" w:hAnsi="Symbol" w:hint="default"/>
      </w:rPr>
    </w:lvl>
  </w:abstractNum>
  <w:num w:numId="1">
    <w:abstractNumId w:val="3"/>
  </w:num>
  <w:num w:numId="2">
    <w:abstractNumId w:val="5"/>
  </w:num>
  <w:num w:numId="3">
    <w:abstractNumId w:val="34"/>
  </w:num>
  <w:num w:numId="4">
    <w:abstractNumId w:val="10"/>
  </w:num>
  <w:num w:numId="5">
    <w:abstractNumId w:val="7"/>
  </w:num>
  <w:num w:numId="6">
    <w:abstractNumId w:val="4"/>
  </w:num>
  <w:num w:numId="7">
    <w:abstractNumId w:val="15"/>
  </w:num>
  <w:num w:numId="8">
    <w:abstractNumId w:val="29"/>
  </w:num>
  <w:num w:numId="9">
    <w:abstractNumId w:val="21"/>
  </w:num>
  <w:num w:numId="10">
    <w:abstractNumId w:val="2"/>
  </w:num>
  <w:num w:numId="11">
    <w:abstractNumId w:val="17"/>
  </w:num>
  <w:num w:numId="12">
    <w:abstractNumId w:val="33"/>
  </w:num>
  <w:num w:numId="13">
    <w:abstractNumId w:val="35"/>
  </w:num>
  <w:num w:numId="14">
    <w:abstractNumId w:val="24"/>
  </w:num>
  <w:num w:numId="15">
    <w:abstractNumId w:val="36"/>
    <w:lvlOverride w:ilvl="0">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31"/>
  </w:num>
  <w:num w:numId="23">
    <w:abstractNumId w:val="27"/>
  </w:num>
  <w:num w:numId="24">
    <w:abstractNumId w:val="18"/>
  </w:num>
  <w:num w:numId="25">
    <w:abstractNumId w:val="30"/>
  </w:num>
  <w:num w:numId="26">
    <w:abstractNumId w:val="13"/>
  </w:num>
  <w:num w:numId="27">
    <w:abstractNumId w:val="19"/>
  </w:num>
  <w:num w:numId="28">
    <w:abstractNumId w:val="20"/>
  </w:num>
  <w:num w:numId="29">
    <w:abstractNumId w:val="25"/>
  </w:num>
  <w:num w:numId="30">
    <w:abstractNumId w:val="26"/>
  </w:num>
  <w:num w:numId="31">
    <w:abstractNumId w:val="12"/>
  </w:num>
  <w:num w:numId="32">
    <w:abstractNumId w:val="22"/>
  </w:num>
  <w:num w:numId="33">
    <w:abstractNumId w:val="37"/>
  </w:num>
  <w:num w:numId="34">
    <w:abstractNumId w:val="32"/>
  </w:num>
  <w:num w:numId="35">
    <w:abstractNumId w:val="5"/>
  </w:num>
  <w:num w:numId="36">
    <w:abstractNumId w:val="5"/>
  </w:num>
  <w:num w:numId="37">
    <w:abstractNumId w:val="5"/>
  </w:num>
  <w:num w:numId="38">
    <w:abstractNumId w:val="11"/>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16"/>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2049"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6"/>
    <w:rsid w:val="0000010A"/>
    <w:rsid w:val="00000AA7"/>
    <w:rsid w:val="00000FE3"/>
    <w:rsid w:val="00001C6B"/>
    <w:rsid w:val="000026E6"/>
    <w:rsid w:val="000031BD"/>
    <w:rsid w:val="00003D73"/>
    <w:rsid w:val="00003DFB"/>
    <w:rsid w:val="0000432F"/>
    <w:rsid w:val="00004865"/>
    <w:rsid w:val="00004F97"/>
    <w:rsid w:val="0000695C"/>
    <w:rsid w:val="00006C19"/>
    <w:rsid w:val="00007D9F"/>
    <w:rsid w:val="0001009E"/>
    <w:rsid w:val="000100DB"/>
    <w:rsid w:val="00010221"/>
    <w:rsid w:val="00013943"/>
    <w:rsid w:val="000139F7"/>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7514"/>
    <w:rsid w:val="00037799"/>
    <w:rsid w:val="00037A0B"/>
    <w:rsid w:val="000404FC"/>
    <w:rsid w:val="00040E0A"/>
    <w:rsid w:val="00041244"/>
    <w:rsid w:val="00041B02"/>
    <w:rsid w:val="00041E7E"/>
    <w:rsid w:val="00042DAA"/>
    <w:rsid w:val="00043B84"/>
    <w:rsid w:val="00043DCA"/>
    <w:rsid w:val="000444A7"/>
    <w:rsid w:val="00044873"/>
    <w:rsid w:val="00045498"/>
    <w:rsid w:val="00045A9F"/>
    <w:rsid w:val="00045DE6"/>
    <w:rsid w:val="00045E6E"/>
    <w:rsid w:val="00046022"/>
    <w:rsid w:val="000460A0"/>
    <w:rsid w:val="00046304"/>
    <w:rsid w:val="00047753"/>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22B"/>
    <w:rsid w:val="00063658"/>
    <w:rsid w:val="000637BC"/>
    <w:rsid w:val="00063B0E"/>
    <w:rsid w:val="00063DCA"/>
    <w:rsid w:val="0006409D"/>
    <w:rsid w:val="00065178"/>
    <w:rsid w:val="0006524F"/>
    <w:rsid w:val="0006527C"/>
    <w:rsid w:val="00066C07"/>
    <w:rsid w:val="000673C4"/>
    <w:rsid w:val="000676CE"/>
    <w:rsid w:val="00070103"/>
    <w:rsid w:val="000705A7"/>
    <w:rsid w:val="00071AC5"/>
    <w:rsid w:val="00072570"/>
    <w:rsid w:val="00073163"/>
    <w:rsid w:val="0007369F"/>
    <w:rsid w:val="000744A9"/>
    <w:rsid w:val="000744FF"/>
    <w:rsid w:val="00074C26"/>
    <w:rsid w:val="00075119"/>
    <w:rsid w:val="00076291"/>
    <w:rsid w:val="00077AF6"/>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3AA4"/>
    <w:rsid w:val="000B4986"/>
    <w:rsid w:val="000B5A08"/>
    <w:rsid w:val="000B6DEC"/>
    <w:rsid w:val="000B776D"/>
    <w:rsid w:val="000B7989"/>
    <w:rsid w:val="000B7BB6"/>
    <w:rsid w:val="000C021A"/>
    <w:rsid w:val="000C04CD"/>
    <w:rsid w:val="000C260B"/>
    <w:rsid w:val="000C3829"/>
    <w:rsid w:val="000C399C"/>
    <w:rsid w:val="000C4424"/>
    <w:rsid w:val="000C5878"/>
    <w:rsid w:val="000C7E72"/>
    <w:rsid w:val="000D0A48"/>
    <w:rsid w:val="000D11FA"/>
    <w:rsid w:val="000D1482"/>
    <w:rsid w:val="000D16B7"/>
    <w:rsid w:val="000D1C4F"/>
    <w:rsid w:val="000D22F1"/>
    <w:rsid w:val="000D3110"/>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0F7552"/>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1713"/>
    <w:rsid w:val="00121995"/>
    <w:rsid w:val="00121EA6"/>
    <w:rsid w:val="00121FBA"/>
    <w:rsid w:val="00122428"/>
    <w:rsid w:val="00122984"/>
    <w:rsid w:val="00122F3F"/>
    <w:rsid w:val="00123783"/>
    <w:rsid w:val="00123856"/>
    <w:rsid w:val="00124C6F"/>
    <w:rsid w:val="00124E27"/>
    <w:rsid w:val="00124E84"/>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6D9A"/>
    <w:rsid w:val="00150301"/>
    <w:rsid w:val="00150303"/>
    <w:rsid w:val="00150652"/>
    <w:rsid w:val="00151330"/>
    <w:rsid w:val="001516E9"/>
    <w:rsid w:val="001526C9"/>
    <w:rsid w:val="0015330F"/>
    <w:rsid w:val="00155C33"/>
    <w:rsid w:val="00155C68"/>
    <w:rsid w:val="00156278"/>
    <w:rsid w:val="001579B7"/>
    <w:rsid w:val="0016010F"/>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70131"/>
    <w:rsid w:val="001708A6"/>
    <w:rsid w:val="00171FDF"/>
    <w:rsid w:val="001732F6"/>
    <w:rsid w:val="001743AE"/>
    <w:rsid w:val="0017441E"/>
    <w:rsid w:val="00175B32"/>
    <w:rsid w:val="00175B6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A46"/>
    <w:rsid w:val="001B1319"/>
    <w:rsid w:val="001B1ABE"/>
    <w:rsid w:val="001B1FE1"/>
    <w:rsid w:val="001B23A9"/>
    <w:rsid w:val="001B26AC"/>
    <w:rsid w:val="001B3EE3"/>
    <w:rsid w:val="001B3EFE"/>
    <w:rsid w:val="001B41FA"/>
    <w:rsid w:val="001B4553"/>
    <w:rsid w:val="001B5466"/>
    <w:rsid w:val="001B5559"/>
    <w:rsid w:val="001B58CE"/>
    <w:rsid w:val="001B596B"/>
    <w:rsid w:val="001B748B"/>
    <w:rsid w:val="001B74D1"/>
    <w:rsid w:val="001B7ADA"/>
    <w:rsid w:val="001C07FE"/>
    <w:rsid w:val="001C1341"/>
    <w:rsid w:val="001C13EB"/>
    <w:rsid w:val="001C1509"/>
    <w:rsid w:val="001C2648"/>
    <w:rsid w:val="001C3102"/>
    <w:rsid w:val="001C32DF"/>
    <w:rsid w:val="001C48FB"/>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5113"/>
    <w:rsid w:val="001D5256"/>
    <w:rsid w:val="001D56E1"/>
    <w:rsid w:val="001D582B"/>
    <w:rsid w:val="001D59D4"/>
    <w:rsid w:val="001D5A54"/>
    <w:rsid w:val="001D6D73"/>
    <w:rsid w:val="001D79BC"/>
    <w:rsid w:val="001D79E5"/>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AAA"/>
    <w:rsid w:val="001F0CB9"/>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842"/>
    <w:rsid w:val="002311C3"/>
    <w:rsid w:val="002313F8"/>
    <w:rsid w:val="00232263"/>
    <w:rsid w:val="00232BB0"/>
    <w:rsid w:val="00232D71"/>
    <w:rsid w:val="002337EF"/>
    <w:rsid w:val="00233D4E"/>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5936"/>
    <w:rsid w:val="002762AD"/>
    <w:rsid w:val="00276553"/>
    <w:rsid w:val="0027671F"/>
    <w:rsid w:val="00276744"/>
    <w:rsid w:val="002778D6"/>
    <w:rsid w:val="00277AC4"/>
    <w:rsid w:val="0028120D"/>
    <w:rsid w:val="00281D78"/>
    <w:rsid w:val="002823AA"/>
    <w:rsid w:val="00283080"/>
    <w:rsid w:val="00283871"/>
    <w:rsid w:val="002838A8"/>
    <w:rsid w:val="00283A02"/>
    <w:rsid w:val="00283A6B"/>
    <w:rsid w:val="00284C2A"/>
    <w:rsid w:val="00285152"/>
    <w:rsid w:val="00285398"/>
    <w:rsid w:val="0028768C"/>
    <w:rsid w:val="00287B05"/>
    <w:rsid w:val="00287F94"/>
    <w:rsid w:val="00290866"/>
    <w:rsid w:val="00290C19"/>
    <w:rsid w:val="002910A1"/>
    <w:rsid w:val="00291890"/>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6510"/>
    <w:rsid w:val="002A6BBF"/>
    <w:rsid w:val="002A7A42"/>
    <w:rsid w:val="002A7BA8"/>
    <w:rsid w:val="002A7C1D"/>
    <w:rsid w:val="002B1B9F"/>
    <w:rsid w:val="002B2D23"/>
    <w:rsid w:val="002B3586"/>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F59"/>
    <w:rsid w:val="002C7885"/>
    <w:rsid w:val="002D0411"/>
    <w:rsid w:val="002D089D"/>
    <w:rsid w:val="002D0AC5"/>
    <w:rsid w:val="002D22E1"/>
    <w:rsid w:val="002D2431"/>
    <w:rsid w:val="002D376B"/>
    <w:rsid w:val="002D388D"/>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456"/>
    <w:rsid w:val="002F2E08"/>
    <w:rsid w:val="002F3916"/>
    <w:rsid w:val="002F4482"/>
    <w:rsid w:val="002F4EA6"/>
    <w:rsid w:val="002F52F0"/>
    <w:rsid w:val="002F5C42"/>
    <w:rsid w:val="002F686A"/>
    <w:rsid w:val="002F6F73"/>
    <w:rsid w:val="002F700F"/>
    <w:rsid w:val="0030111A"/>
    <w:rsid w:val="00301679"/>
    <w:rsid w:val="00301B98"/>
    <w:rsid w:val="00301C36"/>
    <w:rsid w:val="003037D8"/>
    <w:rsid w:val="00304890"/>
    <w:rsid w:val="00304A13"/>
    <w:rsid w:val="0030684A"/>
    <w:rsid w:val="003070C6"/>
    <w:rsid w:val="00307A56"/>
    <w:rsid w:val="00307AEC"/>
    <w:rsid w:val="00307C1D"/>
    <w:rsid w:val="003103E0"/>
    <w:rsid w:val="0031066D"/>
    <w:rsid w:val="003113FE"/>
    <w:rsid w:val="00311CD9"/>
    <w:rsid w:val="00312937"/>
    <w:rsid w:val="00312AC0"/>
    <w:rsid w:val="003133D4"/>
    <w:rsid w:val="003134C0"/>
    <w:rsid w:val="0031451F"/>
    <w:rsid w:val="0031604D"/>
    <w:rsid w:val="00316071"/>
    <w:rsid w:val="00316171"/>
    <w:rsid w:val="003163B8"/>
    <w:rsid w:val="00316B7B"/>
    <w:rsid w:val="00316BDC"/>
    <w:rsid w:val="003173A1"/>
    <w:rsid w:val="003174CC"/>
    <w:rsid w:val="00317993"/>
    <w:rsid w:val="00317F9C"/>
    <w:rsid w:val="00320F3D"/>
    <w:rsid w:val="00321F58"/>
    <w:rsid w:val="00321F6D"/>
    <w:rsid w:val="003223CB"/>
    <w:rsid w:val="00322DC4"/>
    <w:rsid w:val="00323333"/>
    <w:rsid w:val="00326470"/>
    <w:rsid w:val="0032680B"/>
    <w:rsid w:val="00327A0A"/>
    <w:rsid w:val="00330726"/>
    <w:rsid w:val="00331743"/>
    <w:rsid w:val="00331A95"/>
    <w:rsid w:val="0033214B"/>
    <w:rsid w:val="00332799"/>
    <w:rsid w:val="003329D4"/>
    <w:rsid w:val="00332D35"/>
    <w:rsid w:val="00334333"/>
    <w:rsid w:val="003345FD"/>
    <w:rsid w:val="00334E7A"/>
    <w:rsid w:val="00334F3F"/>
    <w:rsid w:val="003353F7"/>
    <w:rsid w:val="00335467"/>
    <w:rsid w:val="00335DAE"/>
    <w:rsid w:val="00335E2F"/>
    <w:rsid w:val="00336A15"/>
    <w:rsid w:val="00336A25"/>
    <w:rsid w:val="0033781B"/>
    <w:rsid w:val="00340981"/>
    <w:rsid w:val="003409D7"/>
    <w:rsid w:val="00341365"/>
    <w:rsid w:val="003413BE"/>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D5B"/>
    <w:rsid w:val="00360379"/>
    <w:rsid w:val="00361A94"/>
    <w:rsid w:val="003632BE"/>
    <w:rsid w:val="00364E50"/>
    <w:rsid w:val="0036527D"/>
    <w:rsid w:val="003659DF"/>
    <w:rsid w:val="00366B08"/>
    <w:rsid w:val="0036740C"/>
    <w:rsid w:val="00371D59"/>
    <w:rsid w:val="00371DBC"/>
    <w:rsid w:val="00372739"/>
    <w:rsid w:val="003728D5"/>
    <w:rsid w:val="00373210"/>
    <w:rsid w:val="00373758"/>
    <w:rsid w:val="00375193"/>
    <w:rsid w:val="00375382"/>
    <w:rsid w:val="003759B2"/>
    <w:rsid w:val="00375D40"/>
    <w:rsid w:val="00375E9C"/>
    <w:rsid w:val="003760E8"/>
    <w:rsid w:val="00376283"/>
    <w:rsid w:val="0037645A"/>
    <w:rsid w:val="00376545"/>
    <w:rsid w:val="00376584"/>
    <w:rsid w:val="0037667E"/>
    <w:rsid w:val="003771E4"/>
    <w:rsid w:val="00377611"/>
    <w:rsid w:val="00377D0F"/>
    <w:rsid w:val="00377E8D"/>
    <w:rsid w:val="00381436"/>
    <w:rsid w:val="00381523"/>
    <w:rsid w:val="0038187B"/>
    <w:rsid w:val="00382341"/>
    <w:rsid w:val="00382F1F"/>
    <w:rsid w:val="003846F6"/>
    <w:rsid w:val="00385194"/>
    <w:rsid w:val="00385EED"/>
    <w:rsid w:val="0038722F"/>
    <w:rsid w:val="003911C3"/>
    <w:rsid w:val="00391D25"/>
    <w:rsid w:val="0039253F"/>
    <w:rsid w:val="00392A69"/>
    <w:rsid w:val="00393131"/>
    <w:rsid w:val="003933A6"/>
    <w:rsid w:val="003943A5"/>
    <w:rsid w:val="0039497F"/>
    <w:rsid w:val="00394DE8"/>
    <w:rsid w:val="00395575"/>
    <w:rsid w:val="00396EA5"/>
    <w:rsid w:val="00397C3D"/>
    <w:rsid w:val="003A02A6"/>
    <w:rsid w:val="003A131C"/>
    <w:rsid w:val="003A2052"/>
    <w:rsid w:val="003A30E5"/>
    <w:rsid w:val="003A47A7"/>
    <w:rsid w:val="003A5FDB"/>
    <w:rsid w:val="003A6D10"/>
    <w:rsid w:val="003A7D38"/>
    <w:rsid w:val="003B08B6"/>
    <w:rsid w:val="003B0EE5"/>
    <w:rsid w:val="003B138B"/>
    <w:rsid w:val="003B15B5"/>
    <w:rsid w:val="003B1965"/>
    <w:rsid w:val="003B1B73"/>
    <w:rsid w:val="003B1D4E"/>
    <w:rsid w:val="003B2373"/>
    <w:rsid w:val="003B237B"/>
    <w:rsid w:val="003B2A47"/>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0F89"/>
    <w:rsid w:val="003D12C0"/>
    <w:rsid w:val="003D1C85"/>
    <w:rsid w:val="003D1D04"/>
    <w:rsid w:val="003D2DC5"/>
    <w:rsid w:val="003D39C4"/>
    <w:rsid w:val="003D3CC1"/>
    <w:rsid w:val="003D49BB"/>
    <w:rsid w:val="003D5738"/>
    <w:rsid w:val="003D6108"/>
    <w:rsid w:val="003D6C35"/>
    <w:rsid w:val="003D6F46"/>
    <w:rsid w:val="003D76F4"/>
    <w:rsid w:val="003D7A7B"/>
    <w:rsid w:val="003E338E"/>
    <w:rsid w:val="003E388E"/>
    <w:rsid w:val="003E44A6"/>
    <w:rsid w:val="003E4790"/>
    <w:rsid w:val="003E53A1"/>
    <w:rsid w:val="003E55FB"/>
    <w:rsid w:val="003E56E9"/>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4F7F"/>
    <w:rsid w:val="0041614E"/>
    <w:rsid w:val="0041629D"/>
    <w:rsid w:val="00416AAD"/>
    <w:rsid w:val="004171AA"/>
    <w:rsid w:val="004174AF"/>
    <w:rsid w:val="00420108"/>
    <w:rsid w:val="004202FF"/>
    <w:rsid w:val="004208ED"/>
    <w:rsid w:val="004212D9"/>
    <w:rsid w:val="00421A1A"/>
    <w:rsid w:val="00421CEE"/>
    <w:rsid w:val="00422074"/>
    <w:rsid w:val="00422E58"/>
    <w:rsid w:val="00423AC5"/>
    <w:rsid w:val="0042497C"/>
    <w:rsid w:val="00425109"/>
    <w:rsid w:val="0042513D"/>
    <w:rsid w:val="00425F78"/>
    <w:rsid w:val="00426EAE"/>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625"/>
    <w:rsid w:val="00447A10"/>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F77"/>
    <w:rsid w:val="004772A8"/>
    <w:rsid w:val="004775C7"/>
    <w:rsid w:val="004778A6"/>
    <w:rsid w:val="00481610"/>
    <w:rsid w:val="00482A7B"/>
    <w:rsid w:val="00483885"/>
    <w:rsid w:val="00483AEC"/>
    <w:rsid w:val="00483C20"/>
    <w:rsid w:val="00484CC0"/>
    <w:rsid w:val="00484E88"/>
    <w:rsid w:val="00484FB1"/>
    <w:rsid w:val="0048525D"/>
    <w:rsid w:val="00485BF8"/>
    <w:rsid w:val="00485FB9"/>
    <w:rsid w:val="00486020"/>
    <w:rsid w:val="004863A9"/>
    <w:rsid w:val="0048661B"/>
    <w:rsid w:val="0049069C"/>
    <w:rsid w:val="004915BE"/>
    <w:rsid w:val="00492C34"/>
    <w:rsid w:val="00493133"/>
    <w:rsid w:val="00495448"/>
    <w:rsid w:val="0049568F"/>
    <w:rsid w:val="00496484"/>
    <w:rsid w:val="004966D7"/>
    <w:rsid w:val="00497024"/>
    <w:rsid w:val="0049707D"/>
    <w:rsid w:val="00497436"/>
    <w:rsid w:val="0049764D"/>
    <w:rsid w:val="00497DDB"/>
    <w:rsid w:val="004A0A58"/>
    <w:rsid w:val="004A17CF"/>
    <w:rsid w:val="004A1918"/>
    <w:rsid w:val="004A2495"/>
    <w:rsid w:val="004A419F"/>
    <w:rsid w:val="004A4452"/>
    <w:rsid w:val="004A575D"/>
    <w:rsid w:val="004A5F35"/>
    <w:rsid w:val="004A6196"/>
    <w:rsid w:val="004A640A"/>
    <w:rsid w:val="004A73BB"/>
    <w:rsid w:val="004B0336"/>
    <w:rsid w:val="004B0679"/>
    <w:rsid w:val="004B0F53"/>
    <w:rsid w:val="004B13AF"/>
    <w:rsid w:val="004B35D3"/>
    <w:rsid w:val="004B374C"/>
    <w:rsid w:val="004B3800"/>
    <w:rsid w:val="004B3A88"/>
    <w:rsid w:val="004B40D5"/>
    <w:rsid w:val="004B4501"/>
    <w:rsid w:val="004B4E03"/>
    <w:rsid w:val="004B500B"/>
    <w:rsid w:val="004B5977"/>
    <w:rsid w:val="004B65EF"/>
    <w:rsid w:val="004B6621"/>
    <w:rsid w:val="004B6B49"/>
    <w:rsid w:val="004B7473"/>
    <w:rsid w:val="004B7CEA"/>
    <w:rsid w:val="004C0F09"/>
    <w:rsid w:val="004C1363"/>
    <w:rsid w:val="004C2072"/>
    <w:rsid w:val="004C237D"/>
    <w:rsid w:val="004C2C0B"/>
    <w:rsid w:val="004C4782"/>
    <w:rsid w:val="004C47CD"/>
    <w:rsid w:val="004C498C"/>
    <w:rsid w:val="004C4E6A"/>
    <w:rsid w:val="004C53CE"/>
    <w:rsid w:val="004C5533"/>
    <w:rsid w:val="004C5C4A"/>
    <w:rsid w:val="004C70BE"/>
    <w:rsid w:val="004D0962"/>
    <w:rsid w:val="004D0F47"/>
    <w:rsid w:val="004D2E93"/>
    <w:rsid w:val="004D3313"/>
    <w:rsid w:val="004D3422"/>
    <w:rsid w:val="004D36E6"/>
    <w:rsid w:val="004D3A73"/>
    <w:rsid w:val="004D3A8E"/>
    <w:rsid w:val="004D424C"/>
    <w:rsid w:val="004D4325"/>
    <w:rsid w:val="004D531F"/>
    <w:rsid w:val="004D6083"/>
    <w:rsid w:val="004D6124"/>
    <w:rsid w:val="004D7BB8"/>
    <w:rsid w:val="004E09F2"/>
    <w:rsid w:val="004E0C23"/>
    <w:rsid w:val="004E115F"/>
    <w:rsid w:val="004E1E4A"/>
    <w:rsid w:val="004E34D0"/>
    <w:rsid w:val="004E3A7E"/>
    <w:rsid w:val="004E3FEC"/>
    <w:rsid w:val="004E43EE"/>
    <w:rsid w:val="004E66BF"/>
    <w:rsid w:val="004E7643"/>
    <w:rsid w:val="004E7C66"/>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3A19"/>
    <w:rsid w:val="00523A9F"/>
    <w:rsid w:val="00523C9A"/>
    <w:rsid w:val="00523E54"/>
    <w:rsid w:val="005246B0"/>
    <w:rsid w:val="005246C3"/>
    <w:rsid w:val="00524804"/>
    <w:rsid w:val="00524CEA"/>
    <w:rsid w:val="005266FF"/>
    <w:rsid w:val="005267D3"/>
    <w:rsid w:val="00526B32"/>
    <w:rsid w:val="005271F3"/>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695"/>
    <w:rsid w:val="00536AB3"/>
    <w:rsid w:val="00536DE4"/>
    <w:rsid w:val="00537388"/>
    <w:rsid w:val="00537B76"/>
    <w:rsid w:val="00537D20"/>
    <w:rsid w:val="005409A3"/>
    <w:rsid w:val="005427D0"/>
    <w:rsid w:val="00542D52"/>
    <w:rsid w:val="005434E2"/>
    <w:rsid w:val="00543996"/>
    <w:rsid w:val="00544905"/>
    <w:rsid w:val="005453BE"/>
    <w:rsid w:val="0054601D"/>
    <w:rsid w:val="00546485"/>
    <w:rsid w:val="005464E4"/>
    <w:rsid w:val="00546C8B"/>
    <w:rsid w:val="00547060"/>
    <w:rsid w:val="005470E6"/>
    <w:rsid w:val="005475FF"/>
    <w:rsid w:val="00547BB3"/>
    <w:rsid w:val="00547CAF"/>
    <w:rsid w:val="005501E1"/>
    <w:rsid w:val="005505D0"/>
    <w:rsid w:val="00551168"/>
    <w:rsid w:val="005525D9"/>
    <w:rsid w:val="00552E41"/>
    <w:rsid w:val="00553784"/>
    <w:rsid w:val="00553AD4"/>
    <w:rsid w:val="00554A4D"/>
    <w:rsid w:val="00554C8D"/>
    <w:rsid w:val="00555118"/>
    <w:rsid w:val="005552C3"/>
    <w:rsid w:val="00555387"/>
    <w:rsid w:val="00555866"/>
    <w:rsid w:val="00555C6C"/>
    <w:rsid w:val="00555F7B"/>
    <w:rsid w:val="005563F6"/>
    <w:rsid w:val="00556C0F"/>
    <w:rsid w:val="00556C7E"/>
    <w:rsid w:val="00556E82"/>
    <w:rsid w:val="0056034C"/>
    <w:rsid w:val="00560AAA"/>
    <w:rsid w:val="00563187"/>
    <w:rsid w:val="00563A58"/>
    <w:rsid w:val="00564748"/>
    <w:rsid w:val="00564890"/>
    <w:rsid w:val="0056509D"/>
    <w:rsid w:val="00565470"/>
    <w:rsid w:val="00565A51"/>
    <w:rsid w:val="00565C57"/>
    <w:rsid w:val="00565CFA"/>
    <w:rsid w:val="00565E34"/>
    <w:rsid w:val="00566AD1"/>
    <w:rsid w:val="00566E0F"/>
    <w:rsid w:val="005703F0"/>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8ED"/>
    <w:rsid w:val="00576743"/>
    <w:rsid w:val="00577653"/>
    <w:rsid w:val="00581F2A"/>
    <w:rsid w:val="0058272A"/>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72FE"/>
    <w:rsid w:val="00597392"/>
    <w:rsid w:val="00597A09"/>
    <w:rsid w:val="005A0E1A"/>
    <w:rsid w:val="005A2A75"/>
    <w:rsid w:val="005A3C89"/>
    <w:rsid w:val="005A3DE7"/>
    <w:rsid w:val="005A3FAB"/>
    <w:rsid w:val="005A4806"/>
    <w:rsid w:val="005A6823"/>
    <w:rsid w:val="005A7761"/>
    <w:rsid w:val="005A7D8E"/>
    <w:rsid w:val="005A7DC7"/>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913"/>
    <w:rsid w:val="005C3453"/>
    <w:rsid w:val="005C3768"/>
    <w:rsid w:val="005C380E"/>
    <w:rsid w:val="005C39AB"/>
    <w:rsid w:val="005C4315"/>
    <w:rsid w:val="005C4A3A"/>
    <w:rsid w:val="005C555C"/>
    <w:rsid w:val="005C565E"/>
    <w:rsid w:val="005C5AB9"/>
    <w:rsid w:val="005C6000"/>
    <w:rsid w:val="005C7161"/>
    <w:rsid w:val="005C73D5"/>
    <w:rsid w:val="005D13B7"/>
    <w:rsid w:val="005D1565"/>
    <w:rsid w:val="005D1BE4"/>
    <w:rsid w:val="005D3DDC"/>
    <w:rsid w:val="005D5038"/>
    <w:rsid w:val="005D5D36"/>
    <w:rsid w:val="005D642C"/>
    <w:rsid w:val="005D71E6"/>
    <w:rsid w:val="005D7339"/>
    <w:rsid w:val="005D7ED1"/>
    <w:rsid w:val="005E04A8"/>
    <w:rsid w:val="005E08C8"/>
    <w:rsid w:val="005E0AB6"/>
    <w:rsid w:val="005E1022"/>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907"/>
    <w:rsid w:val="00603E11"/>
    <w:rsid w:val="00604369"/>
    <w:rsid w:val="00605031"/>
    <w:rsid w:val="00605564"/>
    <w:rsid w:val="00605E44"/>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CFD"/>
    <w:rsid w:val="00615D2B"/>
    <w:rsid w:val="00616394"/>
    <w:rsid w:val="00616E4C"/>
    <w:rsid w:val="0062000D"/>
    <w:rsid w:val="0062093E"/>
    <w:rsid w:val="006212E7"/>
    <w:rsid w:val="0062278D"/>
    <w:rsid w:val="0062280E"/>
    <w:rsid w:val="00623DD6"/>
    <w:rsid w:val="0062527A"/>
    <w:rsid w:val="00625664"/>
    <w:rsid w:val="0062583C"/>
    <w:rsid w:val="00626298"/>
    <w:rsid w:val="0062666B"/>
    <w:rsid w:val="00626A17"/>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32CC"/>
    <w:rsid w:val="00673369"/>
    <w:rsid w:val="00673809"/>
    <w:rsid w:val="006738B1"/>
    <w:rsid w:val="0067444C"/>
    <w:rsid w:val="00674D55"/>
    <w:rsid w:val="00675346"/>
    <w:rsid w:val="0067676E"/>
    <w:rsid w:val="00676816"/>
    <w:rsid w:val="006771CD"/>
    <w:rsid w:val="006774E7"/>
    <w:rsid w:val="0067766A"/>
    <w:rsid w:val="00680C3A"/>
    <w:rsid w:val="00681439"/>
    <w:rsid w:val="006828B7"/>
    <w:rsid w:val="00682E9F"/>
    <w:rsid w:val="00682F4D"/>
    <w:rsid w:val="00683753"/>
    <w:rsid w:val="006844B5"/>
    <w:rsid w:val="00685222"/>
    <w:rsid w:val="0068527A"/>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30C9"/>
    <w:rsid w:val="006B4FEB"/>
    <w:rsid w:val="006B5104"/>
    <w:rsid w:val="006B5B35"/>
    <w:rsid w:val="006B691E"/>
    <w:rsid w:val="006B6EAE"/>
    <w:rsid w:val="006B7032"/>
    <w:rsid w:val="006C049D"/>
    <w:rsid w:val="006C0DA9"/>
    <w:rsid w:val="006C0F8D"/>
    <w:rsid w:val="006C1970"/>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6CC"/>
    <w:rsid w:val="006D798B"/>
    <w:rsid w:val="006E083B"/>
    <w:rsid w:val="006E0F59"/>
    <w:rsid w:val="006E196E"/>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209E"/>
    <w:rsid w:val="006F3561"/>
    <w:rsid w:val="006F3D05"/>
    <w:rsid w:val="006F3FA2"/>
    <w:rsid w:val="006F48B7"/>
    <w:rsid w:val="006F4E7D"/>
    <w:rsid w:val="006F5504"/>
    <w:rsid w:val="006F6EA4"/>
    <w:rsid w:val="007008E2"/>
    <w:rsid w:val="00700B7B"/>
    <w:rsid w:val="00702B9C"/>
    <w:rsid w:val="00703DA0"/>
    <w:rsid w:val="00703FC8"/>
    <w:rsid w:val="0070411F"/>
    <w:rsid w:val="00704131"/>
    <w:rsid w:val="00705D8F"/>
    <w:rsid w:val="007064B7"/>
    <w:rsid w:val="00706F61"/>
    <w:rsid w:val="00707BE9"/>
    <w:rsid w:val="007113FC"/>
    <w:rsid w:val="00711604"/>
    <w:rsid w:val="007119D9"/>
    <w:rsid w:val="00711AEE"/>
    <w:rsid w:val="007124CA"/>
    <w:rsid w:val="00712716"/>
    <w:rsid w:val="0071282C"/>
    <w:rsid w:val="00712AAA"/>
    <w:rsid w:val="00712F45"/>
    <w:rsid w:val="00712F6B"/>
    <w:rsid w:val="007135D7"/>
    <w:rsid w:val="007158A8"/>
    <w:rsid w:val="00715B41"/>
    <w:rsid w:val="007171CC"/>
    <w:rsid w:val="0071788D"/>
    <w:rsid w:val="00721C1C"/>
    <w:rsid w:val="00726501"/>
    <w:rsid w:val="007277C8"/>
    <w:rsid w:val="00727C81"/>
    <w:rsid w:val="00727EEB"/>
    <w:rsid w:val="00730909"/>
    <w:rsid w:val="0073138D"/>
    <w:rsid w:val="007314ED"/>
    <w:rsid w:val="0073188C"/>
    <w:rsid w:val="00732768"/>
    <w:rsid w:val="00733049"/>
    <w:rsid w:val="007359F6"/>
    <w:rsid w:val="00735A21"/>
    <w:rsid w:val="00735DA7"/>
    <w:rsid w:val="0073752F"/>
    <w:rsid w:val="00737BD4"/>
    <w:rsid w:val="00737BEE"/>
    <w:rsid w:val="00740450"/>
    <w:rsid w:val="0074063F"/>
    <w:rsid w:val="00740929"/>
    <w:rsid w:val="00741833"/>
    <w:rsid w:val="00741C16"/>
    <w:rsid w:val="0074297A"/>
    <w:rsid w:val="0074324A"/>
    <w:rsid w:val="00743613"/>
    <w:rsid w:val="007445DA"/>
    <w:rsid w:val="00744686"/>
    <w:rsid w:val="007452D9"/>
    <w:rsid w:val="007458C8"/>
    <w:rsid w:val="00745E80"/>
    <w:rsid w:val="00746153"/>
    <w:rsid w:val="00746724"/>
    <w:rsid w:val="00746A29"/>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0FC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7053E"/>
    <w:rsid w:val="00770CFC"/>
    <w:rsid w:val="00770FB9"/>
    <w:rsid w:val="00771A80"/>
    <w:rsid w:val="00772095"/>
    <w:rsid w:val="00774ADC"/>
    <w:rsid w:val="00774EEF"/>
    <w:rsid w:val="00775934"/>
    <w:rsid w:val="007761AC"/>
    <w:rsid w:val="00777371"/>
    <w:rsid w:val="007804C5"/>
    <w:rsid w:val="00780711"/>
    <w:rsid w:val="00780BE2"/>
    <w:rsid w:val="00781B1B"/>
    <w:rsid w:val="00782F67"/>
    <w:rsid w:val="007836FE"/>
    <w:rsid w:val="00783713"/>
    <w:rsid w:val="00783A95"/>
    <w:rsid w:val="00784FA8"/>
    <w:rsid w:val="007868F6"/>
    <w:rsid w:val="00786A34"/>
    <w:rsid w:val="007877B8"/>
    <w:rsid w:val="00787A29"/>
    <w:rsid w:val="00790546"/>
    <w:rsid w:val="00790BA4"/>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E8A"/>
    <w:rsid w:val="007A6F84"/>
    <w:rsid w:val="007A7032"/>
    <w:rsid w:val="007A7B13"/>
    <w:rsid w:val="007B09EB"/>
    <w:rsid w:val="007B1B97"/>
    <w:rsid w:val="007B1BD1"/>
    <w:rsid w:val="007B3994"/>
    <w:rsid w:val="007B4CE5"/>
    <w:rsid w:val="007B5833"/>
    <w:rsid w:val="007B59C6"/>
    <w:rsid w:val="007B5FBB"/>
    <w:rsid w:val="007B6999"/>
    <w:rsid w:val="007B6E46"/>
    <w:rsid w:val="007B78EF"/>
    <w:rsid w:val="007C1422"/>
    <w:rsid w:val="007C15B6"/>
    <w:rsid w:val="007C1EE7"/>
    <w:rsid w:val="007C2801"/>
    <w:rsid w:val="007C44B3"/>
    <w:rsid w:val="007C4781"/>
    <w:rsid w:val="007C4867"/>
    <w:rsid w:val="007C51B1"/>
    <w:rsid w:val="007C54C3"/>
    <w:rsid w:val="007C72F8"/>
    <w:rsid w:val="007C7427"/>
    <w:rsid w:val="007D0EF1"/>
    <w:rsid w:val="007D1077"/>
    <w:rsid w:val="007D1286"/>
    <w:rsid w:val="007D25C6"/>
    <w:rsid w:val="007D2E2C"/>
    <w:rsid w:val="007D3C31"/>
    <w:rsid w:val="007D41C8"/>
    <w:rsid w:val="007D4279"/>
    <w:rsid w:val="007D505A"/>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048"/>
    <w:rsid w:val="007E6122"/>
    <w:rsid w:val="007E6175"/>
    <w:rsid w:val="007E65B1"/>
    <w:rsid w:val="007E70B3"/>
    <w:rsid w:val="007E7328"/>
    <w:rsid w:val="007F1E49"/>
    <w:rsid w:val="007F1E7C"/>
    <w:rsid w:val="007F4636"/>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52AA"/>
    <w:rsid w:val="00825C5A"/>
    <w:rsid w:val="00825E48"/>
    <w:rsid w:val="008264BD"/>
    <w:rsid w:val="008265BF"/>
    <w:rsid w:val="00826CA1"/>
    <w:rsid w:val="0082715E"/>
    <w:rsid w:val="008277D8"/>
    <w:rsid w:val="00830119"/>
    <w:rsid w:val="008303F4"/>
    <w:rsid w:val="00830BAE"/>
    <w:rsid w:val="008322E9"/>
    <w:rsid w:val="008327AC"/>
    <w:rsid w:val="00833892"/>
    <w:rsid w:val="00834024"/>
    <w:rsid w:val="0083448E"/>
    <w:rsid w:val="008349FD"/>
    <w:rsid w:val="00834D27"/>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591E"/>
    <w:rsid w:val="00855943"/>
    <w:rsid w:val="00855B00"/>
    <w:rsid w:val="00856081"/>
    <w:rsid w:val="00856C12"/>
    <w:rsid w:val="00856DAF"/>
    <w:rsid w:val="00856F8F"/>
    <w:rsid w:val="008570FC"/>
    <w:rsid w:val="00857473"/>
    <w:rsid w:val="008575E2"/>
    <w:rsid w:val="00857E35"/>
    <w:rsid w:val="00860A0E"/>
    <w:rsid w:val="00860D44"/>
    <w:rsid w:val="008614D6"/>
    <w:rsid w:val="008623C7"/>
    <w:rsid w:val="0086305B"/>
    <w:rsid w:val="00863088"/>
    <w:rsid w:val="008632EA"/>
    <w:rsid w:val="00863D56"/>
    <w:rsid w:val="008646BD"/>
    <w:rsid w:val="008653A1"/>
    <w:rsid w:val="00865A4B"/>
    <w:rsid w:val="00865E3B"/>
    <w:rsid w:val="008664D0"/>
    <w:rsid w:val="00867342"/>
    <w:rsid w:val="0086765D"/>
    <w:rsid w:val="0086769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BF1"/>
    <w:rsid w:val="00886B8C"/>
    <w:rsid w:val="00887694"/>
    <w:rsid w:val="008878EB"/>
    <w:rsid w:val="00887DD3"/>
    <w:rsid w:val="00887FD4"/>
    <w:rsid w:val="0089066A"/>
    <w:rsid w:val="008913D1"/>
    <w:rsid w:val="00891BDA"/>
    <w:rsid w:val="0089200B"/>
    <w:rsid w:val="0089367E"/>
    <w:rsid w:val="00893BE2"/>
    <w:rsid w:val="00894783"/>
    <w:rsid w:val="0089522F"/>
    <w:rsid w:val="0089650C"/>
    <w:rsid w:val="00896E23"/>
    <w:rsid w:val="00896EC1"/>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1CD1"/>
    <w:rsid w:val="008B27AF"/>
    <w:rsid w:val="008B27E0"/>
    <w:rsid w:val="008B3011"/>
    <w:rsid w:val="008B3680"/>
    <w:rsid w:val="008B3BD8"/>
    <w:rsid w:val="008B4644"/>
    <w:rsid w:val="008B4918"/>
    <w:rsid w:val="008B4E1D"/>
    <w:rsid w:val="008B50FF"/>
    <w:rsid w:val="008B5C79"/>
    <w:rsid w:val="008B787D"/>
    <w:rsid w:val="008B792C"/>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C82"/>
    <w:rsid w:val="008F2583"/>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34AB"/>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78A"/>
    <w:rsid w:val="00941756"/>
    <w:rsid w:val="00941B87"/>
    <w:rsid w:val="00941CC8"/>
    <w:rsid w:val="00942839"/>
    <w:rsid w:val="00942DB0"/>
    <w:rsid w:val="00943055"/>
    <w:rsid w:val="009434B2"/>
    <w:rsid w:val="009435CB"/>
    <w:rsid w:val="00943D25"/>
    <w:rsid w:val="009442CD"/>
    <w:rsid w:val="00944719"/>
    <w:rsid w:val="00945153"/>
    <w:rsid w:val="009462F0"/>
    <w:rsid w:val="00947D60"/>
    <w:rsid w:val="00950D94"/>
    <w:rsid w:val="009514D8"/>
    <w:rsid w:val="00951CA4"/>
    <w:rsid w:val="00951F78"/>
    <w:rsid w:val="0095264F"/>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3CE"/>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28E"/>
    <w:rsid w:val="0097341D"/>
    <w:rsid w:val="00973ABE"/>
    <w:rsid w:val="0097420B"/>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85D"/>
    <w:rsid w:val="009D698D"/>
    <w:rsid w:val="009D6CF4"/>
    <w:rsid w:val="009D70B9"/>
    <w:rsid w:val="009D7372"/>
    <w:rsid w:val="009D74EA"/>
    <w:rsid w:val="009D796F"/>
    <w:rsid w:val="009E029C"/>
    <w:rsid w:val="009E0EF0"/>
    <w:rsid w:val="009E0FD4"/>
    <w:rsid w:val="009E2A5E"/>
    <w:rsid w:val="009E32C7"/>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F46"/>
    <w:rsid w:val="00A12D9E"/>
    <w:rsid w:val="00A139AA"/>
    <w:rsid w:val="00A14211"/>
    <w:rsid w:val="00A1476F"/>
    <w:rsid w:val="00A15942"/>
    <w:rsid w:val="00A16305"/>
    <w:rsid w:val="00A169FC"/>
    <w:rsid w:val="00A16D74"/>
    <w:rsid w:val="00A16F81"/>
    <w:rsid w:val="00A178C4"/>
    <w:rsid w:val="00A17924"/>
    <w:rsid w:val="00A17FEF"/>
    <w:rsid w:val="00A209CF"/>
    <w:rsid w:val="00A21D3B"/>
    <w:rsid w:val="00A22467"/>
    <w:rsid w:val="00A224F7"/>
    <w:rsid w:val="00A231C8"/>
    <w:rsid w:val="00A23930"/>
    <w:rsid w:val="00A23B5F"/>
    <w:rsid w:val="00A24018"/>
    <w:rsid w:val="00A2401D"/>
    <w:rsid w:val="00A25BCB"/>
    <w:rsid w:val="00A27471"/>
    <w:rsid w:val="00A27C01"/>
    <w:rsid w:val="00A27C6D"/>
    <w:rsid w:val="00A27CEA"/>
    <w:rsid w:val="00A27DB0"/>
    <w:rsid w:val="00A30306"/>
    <w:rsid w:val="00A30712"/>
    <w:rsid w:val="00A30B31"/>
    <w:rsid w:val="00A31AF9"/>
    <w:rsid w:val="00A32078"/>
    <w:rsid w:val="00A32ED4"/>
    <w:rsid w:val="00A33DDA"/>
    <w:rsid w:val="00A3558C"/>
    <w:rsid w:val="00A371DF"/>
    <w:rsid w:val="00A4084B"/>
    <w:rsid w:val="00A40A38"/>
    <w:rsid w:val="00A40E3F"/>
    <w:rsid w:val="00A4122E"/>
    <w:rsid w:val="00A41ECA"/>
    <w:rsid w:val="00A423F1"/>
    <w:rsid w:val="00A4298D"/>
    <w:rsid w:val="00A444B9"/>
    <w:rsid w:val="00A4458C"/>
    <w:rsid w:val="00A45A2D"/>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3016"/>
    <w:rsid w:val="00A630DB"/>
    <w:rsid w:val="00A63356"/>
    <w:rsid w:val="00A63ABF"/>
    <w:rsid w:val="00A63D0C"/>
    <w:rsid w:val="00A63E46"/>
    <w:rsid w:val="00A63E47"/>
    <w:rsid w:val="00A643C8"/>
    <w:rsid w:val="00A647A0"/>
    <w:rsid w:val="00A6509F"/>
    <w:rsid w:val="00A65221"/>
    <w:rsid w:val="00A65BEC"/>
    <w:rsid w:val="00A65BFB"/>
    <w:rsid w:val="00A65C5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77A4A"/>
    <w:rsid w:val="00A80677"/>
    <w:rsid w:val="00A80C0C"/>
    <w:rsid w:val="00A813D0"/>
    <w:rsid w:val="00A818B3"/>
    <w:rsid w:val="00A81D4F"/>
    <w:rsid w:val="00A81D8E"/>
    <w:rsid w:val="00A81DE4"/>
    <w:rsid w:val="00A83EFA"/>
    <w:rsid w:val="00A83FDB"/>
    <w:rsid w:val="00A845D3"/>
    <w:rsid w:val="00A84AAF"/>
    <w:rsid w:val="00A84D03"/>
    <w:rsid w:val="00A84EC0"/>
    <w:rsid w:val="00A85810"/>
    <w:rsid w:val="00A859E5"/>
    <w:rsid w:val="00A86397"/>
    <w:rsid w:val="00A91383"/>
    <w:rsid w:val="00A916B4"/>
    <w:rsid w:val="00A91E25"/>
    <w:rsid w:val="00A9278C"/>
    <w:rsid w:val="00A93150"/>
    <w:rsid w:val="00A95571"/>
    <w:rsid w:val="00A95E71"/>
    <w:rsid w:val="00A96015"/>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5D2"/>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6038"/>
    <w:rsid w:val="00AC6187"/>
    <w:rsid w:val="00AC6630"/>
    <w:rsid w:val="00AC7A5C"/>
    <w:rsid w:val="00AD0551"/>
    <w:rsid w:val="00AD16F4"/>
    <w:rsid w:val="00AD17C6"/>
    <w:rsid w:val="00AD32EE"/>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0DC"/>
    <w:rsid w:val="00AE5485"/>
    <w:rsid w:val="00AE6ED7"/>
    <w:rsid w:val="00AE76F7"/>
    <w:rsid w:val="00AF14FF"/>
    <w:rsid w:val="00AF23FF"/>
    <w:rsid w:val="00AF2521"/>
    <w:rsid w:val="00AF260E"/>
    <w:rsid w:val="00AF333D"/>
    <w:rsid w:val="00AF3D2E"/>
    <w:rsid w:val="00AF3E17"/>
    <w:rsid w:val="00AF4178"/>
    <w:rsid w:val="00AF478D"/>
    <w:rsid w:val="00AF498B"/>
    <w:rsid w:val="00AF54DB"/>
    <w:rsid w:val="00AF6AAB"/>
    <w:rsid w:val="00AF71A2"/>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6521"/>
    <w:rsid w:val="00B06EC7"/>
    <w:rsid w:val="00B06FC2"/>
    <w:rsid w:val="00B07AF7"/>
    <w:rsid w:val="00B07CE2"/>
    <w:rsid w:val="00B10142"/>
    <w:rsid w:val="00B102C2"/>
    <w:rsid w:val="00B10DA4"/>
    <w:rsid w:val="00B11117"/>
    <w:rsid w:val="00B12918"/>
    <w:rsid w:val="00B12B99"/>
    <w:rsid w:val="00B1345D"/>
    <w:rsid w:val="00B14430"/>
    <w:rsid w:val="00B20201"/>
    <w:rsid w:val="00B20303"/>
    <w:rsid w:val="00B22466"/>
    <w:rsid w:val="00B226C9"/>
    <w:rsid w:val="00B237D2"/>
    <w:rsid w:val="00B2466D"/>
    <w:rsid w:val="00B24D30"/>
    <w:rsid w:val="00B25BCC"/>
    <w:rsid w:val="00B26C48"/>
    <w:rsid w:val="00B27947"/>
    <w:rsid w:val="00B27A68"/>
    <w:rsid w:val="00B27BC6"/>
    <w:rsid w:val="00B27FCA"/>
    <w:rsid w:val="00B30BD3"/>
    <w:rsid w:val="00B31819"/>
    <w:rsid w:val="00B31937"/>
    <w:rsid w:val="00B32087"/>
    <w:rsid w:val="00B32C2D"/>
    <w:rsid w:val="00B32F48"/>
    <w:rsid w:val="00B341B1"/>
    <w:rsid w:val="00B342C6"/>
    <w:rsid w:val="00B346B9"/>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123"/>
    <w:rsid w:val="00B54A8B"/>
    <w:rsid w:val="00B5523D"/>
    <w:rsid w:val="00B56415"/>
    <w:rsid w:val="00B567B9"/>
    <w:rsid w:val="00B56A71"/>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6181"/>
    <w:rsid w:val="00B76DED"/>
    <w:rsid w:val="00B76ED4"/>
    <w:rsid w:val="00B777AB"/>
    <w:rsid w:val="00B8092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1413"/>
    <w:rsid w:val="00B93465"/>
    <w:rsid w:val="00B942C0"/>
    <w:rsid w:val="00B94586"/>
    <w:rsid w:val="00B948B2"/>
    <w:rsid w:val="00B94DC1"/>
    <w:rsid w:val="00B96010"/>
    <w:rsid w:val="00B9654E"/>
    <w:rsid w:val="00B974FA"/>
    <w:rsid w:val="00BA0215"/>
    <w:rsid w:val="00BA102A"/>
    <w:rsid w:val="00BA1835"/>
    <w:rsid w:val="00BA2161"/>
    <w:rsid w:val="00BA448D"/>
    <w:rsid w:val="00BA4C4B"/>
    <w:rsid w:val="00BA5614"/>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5025"/>
    <w:rsid w:val="00BB5B09"/>
    <w:rsid w:val="00BC0236"/>
    <w:rsid w:val="00BC1B99"/>
    <w:rsid w:val="00BC220A"/>
    <w:rsid w:val="00BC23E7"/>
    <w:rsid w:val="00BC2BE2"/>
    <w:rsid w:val="00BC3645"/>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3AAB"/>
    <w:rsid w:val="00BE45F5"/>
    <w:rsid w:val="00BE4628"/>
    <w:rsid w:val="00BE49EF"/>
    <w:rsid w:val="00BE5B65"/>
    <w:rsid w:val="00BE6491"/>
    <w:rsid w:val="00BE6D81"/>
    <w:rsid w:val="00BE6FEF"/>
    <w:rsid w:val="00BF09E7"/>
    <w:rsid w:val="00BF12A7"/>
    <w:rsid w:val="00BF2553"/>
    <w:rsid w:val="00BF3D49"/>
    <w:rsid w:val="00BF4380"/>
    <w:rsid w:val="00BF635A"/>
    <w:rsid w:val="00C00901"/>
    <w:rsid w:val="00C01002"/>
    <w:rsid w:val="00C01E37"/>
    <w:rsid w:val="00C02284"/>
    <w:rsid w:val="00C02A7C"/>
    <w:rsid w:val="00C02DD0"/>
    <w:rsid w:val="00C03CF9"/>
    <w:rsid w:val="00C03F7D"/>
    <w:rsid w:val="00C04E63"/>
    <w:rsid w:val="00C0544A"/>
    <w:rsid w:val="00C06C27"/>
    <w:rsid w:val="00C06F4A"/>
    <w:rsid w:val="00C1070F"/>
    <w:rsid w:val="00C10E33"/>
    <w:rsid w:val="00C11ADC"/>
    <w:rsid w:val="00C11C9D"/>
    <w:rsid w:val="00C11FF3"/>
    <w:rsid w:val="00C1407E"/>
    <w:rsid w:val="00C14550"/>
    <w:rsid w:val="00C1518D"/>
    <w:rsid w:val="00C15370"/>
    <w:rsid w:val="00C1575F"/>
    <w:rsid w:val="00C158C7"/>
    <w:rsid w:val="00C15BBB"/>
    <w:rsid w:val="00C161B5"/>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302D8"/>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132B"/>
    <w:rsid w:val="00C41BE6"/>
    <w:rsid w:val="00C421EA"/>
    <w:rsid w:val="00C422E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10C9"/>
    <w:rsid w:val="00C619FC"/>
    <w:rsid w:val="00C62575"/>
    <w:rsid w:val="00C6319D"/>
    <w:rsid w:val="00C63559"/>
    <w:rsid w:val="00C636ED"/>
    <w:rsid w:val="00C642D6"/>
    <w:rsid w:val="00C64A61"/>
    <w:rsid w:val="00C64BD2"/>
    <w:rsid w:val="00C65B3A"/>
    <w:rsid w:val="00C67B59"/>
    <w:rsid w:val="00C704C4"/>
    <w:rsid w:val="00C704E1"/>
    <w:rsid w:val="00C70881"/>
    <w:rsid w:val="00C70EE9"/>
    <w:rsid w:val="00C715C2"/>
    <w:rsid w:val="00C71E82"/>
    <w:rsid w:val="00C7208F"/>
    <w:rsid w:val="00C72489"/>
    <w:rsid w:val="00C7450C"/>
    <w:rsid w:val="00C74935"/>
    <w:rsid w:val="00C75453"/>
    <w:rsid w:val="00C75B50"/>
    <w:rsid w:val="00C76406"/>
    <w:rsid w:val="00C766EF"/>
    <w:rsid w:val="00C7679E"/>
    <w:rsid w:val="00C7686D"/>
    <w:rsid w:val="00C76F0B"/>
    <w:rsid w:val="00C77295"/>
    <w:rsid w:val="00C81588"/>
    <w:rsid w:val="00C82394"/>
    <w:rsid w:val="00C830C0"/>
    <w:rsid w:val="00C8396A"/>
    <w:rsid w:val="00C84B80"/>
    <w:rsid w:val="00C856F6"/>
    <w:rsid w:val="00C8772D"/>
    <w:rsid w:val="00C87E27"/>
    <w:rsid w:val="00C87E3E"/>
    <w:rsid w:val="00C901EB"/>
    <w:rsid w:val="00C919DF"/>
    <w:rsid w:val="00C91B0D"/>
    <w:rsid w:val="00C92CDF"/>
    <w:rsid w:val="00C93B30"/>
    <w:rsid w:val="00C946ED"/>
    <w:rsid w:val="00C948C2"/>
    <w:rsid w:val="00C94AAE"/>
    <w:rsid w:val="00C94C5D"/>
    <w:rsid w:val="00C95024"/>
    <w:rsid w:val="00C95F2E"/>
    <w:rsid w:val="00C96078"/>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2E3A"/>
    <w:rsid w:val="00CA3F27"/>
    <w:rsid w:val="00CA649C"/>
    <w:rsid w:val="00CA7369"/>
    <w:rsid w:val="00CA7D8B"/>
    <w:rsid w:val="00CB04CC"/>
    <w:rsid w:val="00CB0791"/>
    <w:rsid w:val="00CB0A52"/>
    <w:rsid w:val="00CB1441"/>
    <w:rsid w:val="00CB18B4"/>
    <w:rsid w:val="00CB2B0D"/>
    <w:rsid w:val="00CB2F70"/>
    <w:rsid w:val="00CB3A4F"/>
    <w:rsid w:val="00CB4E64"/>
    <w:rsid w:val="00CB527C"/>
    <w:rsid w:val="00CB66B0"/>
    <w:rsid w:val="00CB6EFC"/>
    <w:rsid w:val="00CC0338"/>
    <w:rsid w:val="00CC0490"/>
    <w:rsid w:val="00CC07AE"/>
    <w:rsid w:val="00CC0C4B"/>
    <w:rsid w:val="00CC11BB"/>
    <w:rsid w:val="00CC20FC"/>
    <w:rsid w:val="00CC2395"/>
    <w:rsid w:val="00CC271A"/>
    <w:rsid w:val="00CC3105"/>
    <w:rsid w:val="00CC3719"/>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91"/>
    <w:rsid w:val="00CE1C25"/>
    <w:rsid w:val="00CE1E20"/>
    <w:rsid w:val="00CE27D6"/>
    <w:rsid w:val="00CE28A4"/>
    <w:rsid w:val="00CE2A93"/>
    <w:rsid w:val="00CE2F61"/>
    <w:rsid w:val="00CE42E1"/>
    <w:rsid w:val="00CE4809"/>
    <w:rsid w:val="00CE51F2"/>
    <w:rsid w:val="00CE530F"/>
    <w:rsid w:val="00CE59FB"/>
    <w:rsid w:val="00CE6769"/>
    <w:rsid w:val="00CE711F"/>
    <w:rsid w:val="00CE78B6"/>
    <w:rsid w:val="00CF003F"/>
    <w:rsid w:val="00CF0178"/>
    <w:rsid w:val="00CF0AC4"/>
    <w:rsid w:val="00CF1287"/>
    <w:rsid w:val="00CF162C"/>
    <w:rsid w:val="00CF295A"/>
    <w:rsid w:val="00CF2B52"/>
    <w:rsid w:val="00CF2DCB"/>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CD"/>
    <w:rsid w:val="00D04B39"/>
    <w:rsid w:val="00D05689"/>
    <w:rsid w:val="00D05F22"/>
    <w:rsid w:val="00D06A5D"/>
    <w:rsid w:val="00D07637"/>
    <w:rsid w:val="00D07A5A"/>
    <w:rsid w:val="00D10016"/>
    <w:rsid w:val="00D10115"/>
    <w:rsid w:val="00D1016F"/>
    <w:rsid w:val="00D109BC"/>
    <w:rsid w:val="00D10A32"/>
    <w:rsid w:val="00D12A30"/>
    <w:rsid w:val="00D13B09"/>
    <w:rsid w:val="00D13B4E"/>
    <w:rsid w:val="00D14287"/>
    <w:rsid w:val="00D146D4"/>
    <w:rsid w:val="00D14881"/>
    <w:rsid w:val="00D14889"/>
    <w:rsid w:val="00D15522"/>
    <w:rsid w:val="00D15609"/>
    <w:rsid w:val="00D15A79"/>
    <w:rsid w:val="00D15CE7"/>
    <w:rsid w:val="00D15E1A"/>
    <w:rsid w:val="00D1616B"/>
    <w:rsid w:val="00D16AD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BE9"/>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70D3"/>
    <w:rsid w:val="00D4714B"/>
    <w:rsid w:val="00D47292"/>
    <w:rsid w:val="00D47341"/>
    <w:rsid w:val="00D47776"/>
    <w:rsid w:val="00D478AE"/>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2ADD"/>
    <w:rsid w:val="00D72C18"/>
    <w:rsid w:val="00D73EB0"/>
    <w:rsid w:val="00D74BB3"/>
    <w:rsid w:val="00D75055"/>
    <w:rsid w:val="00D75856"/>
    <w:rsid w:val="00D769F7"/>
    <w:rsid w:val="00D77967"/>
    <w:rsid w:val="00D77CA8"/>
    <w:rsid w:val="00D80719"/>
    <w:rsid w:val="00D8098F"/>
    <w:rsid w:val="00D81C18"/>
    <w:rsid w:val="00D82746"/>
    <w:rsid w:val="00D841E4"/>
    <w:rsid w:val="00D849DD"/>
    <w:rsid w:val="00D84AE8"/>
    <w:rsid w:val="00D84C91"/>
    <w:rsid w:val="00D84D9E"/>
    <w:rsid w:val="00D853BF"/>
    <w:rsid w:val="00D859D9"/>
    <w:rsid w:val="00D85CA9"/>
    <w:rsid w:val="00D85E4E"/>
    <w:rsid w:val="00D86577"/>
    <w:rsid w:val="00D8764D"/>
    <w:rsid w:val="00D87DD7"/>
    <w:rsid w:val="00D9038A"/>
    <w:rsid w:val="00D91584"/>
    <w:rsid w:val="00D91F6F"/>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6B2F"/>
    <w:rsid w:val="00DB783D"/>
    <w:rsid w:val="00DC0038"/>
    <w:rsid w:val="00DC0FB0"/>
    <w:rsid w:val="00DC1CF5"/>
    <w:rsid w:val="00DC2BCC"/>
    <w:rsid w:val="00DC3EF9"/>
    <w:rsid w:val="00DC5053"/>
    <w:rsid w:val="00DC508D"/>
    <w:rsid w:val="00DC537C"/>
    <w:rsid w:val="00DC6013"/>
    <w:rsid w:val="00DC6B78"/>
    <w:rsid w:val="00DC71FA"/>
    <w:rsid w:val="00DC79C4"/>
    <w:rsid w:val="00DD20DF"/>
    <w:rsid w:val="00DD26D5"/>
    <w:rsid w:val="00DD282C"/>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5078"/>
    <w:rsid w:val="00E1635E"/>
    <w:rsid w:val="00E1736E"/>
    <w:rsid w:val="00E20106"/>
    <w:rsid w:val="00E20A5E"/>
    <w:rsid w:val="00E2123A"/>
    <w:rsid w:val="00E215B3"/>
    <w:rsid w:val="00E22041"/>
    <w:rsid w:val="00E22A6B"/>
    <w:rsid w:val="00E23102"/>
    <w:rsid w:val="00E2349D"/>
    <w:rsid w:val="00E23784"/>
    <w:rsid w:val="00E24380"/>
    <w:rsid w:val="00E245CD"/>
    <w:rsid w:val="00E25167"/>
    <w:rsid w:val="00E25652"/>
    <w:rsid w:val="00E26D7C"/>
    <w:rsid w:val="00E30587"/>
    <w:rsid w:val="00E30710"/>
    <w:rsid w:val="00E313F7"/>
    <w:rsid w:val="00E326AA"/>
    <w:rsid w:val="00E32AA1"/>
    <w:rsid w:val="00E32B6E"/>
    <w:rsid w:val="00E32DF9"/>
    <w:rsid w:val="00E33771"/>
    <w:rsid w:val="00E33847"/>
    <w:rsid w:val="00E344D2"/>
    <w:rsid w:val="00E356C3"/>
    <w:rsid w:val="00E35DDD"/>
    <w:rsid w:val="00E366A8"/>
    <w:rsid w:val="00E37298"/>
    <w:rsid w:val="00E37B23"/>
    <w:rsid w:val="00E37B36"/>
    <w:rsid w:val="00E41A0B"/>
    <w:rsid w:val="00E41B2A"/>
    <w:rsid w:val="00E421E7"/>
    <w:rsid w:val="00E42533"/>
    <w:rsid w:val="00E431C7"/>
    <w:rsid w:val="00E44553"/>
    <w:rsid w:val="00E455BA"/>
    <w:rsid w:val="00E45860"/>
    <w:rsid w:val="00E45884"/>
    <w:rsid w:val="00E463AB"/>
    <w:rsid w:val="00E46786"/>
    <w:rsid w:val="00E46FEF"/>
    <w:rsid w:val="00E4762F"/>
    <w:rsid w:val="00E505DD"/>
    <w:rsid w:val="00E50729"/>
    <w:rsid w:val="00E5188D"/>
    <w:rsid w:val="00E51D41"/>
    <w:rsid w:val="00E52326"/>
    <w:rsid w:val="00E527AC"/>
    <w:rsid w:val="00E5305B"/>
    <w:rsid w:val="00E5407E"/>
    <w:rsid w:val="00E55B53"/>
    <w:rsid w:val="00E55E1D"/>
    <w:rsid w:val="00E56573"/>
    <w:rsid w:val="00E5684A"/>
    <w:rsid w:val="00E5721F"/>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881"/>
    <w:rsid w:val="00EA0A7A"/>
    <w:rsid w:val="00EA0D64"/>
    <w:rsid w:val="00EA23C8"/>
    <w:rsid w:val="00EA3149"/>
    <w:rsid w:val="00EA31EE"/>
    <w:rsid w:val="00EA3F0C"/>
    <w:rsid w:val="00EA5864"/>
    <w:rsid w:val="00EA5DEE"/>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C0A12"/>
    <w:rsid w:val="00EC11FF"/>
    <w:rsid w:val="00EC129B"/>
    <w:rsid w:val="00EC1316"/>
    <w:rsid w:val="00EC1D54"/>
    <w:rsid w:val="00EC3358"/>
    <w:rsid w:val="00EC3867"/>
    <w:rsid w:val="00EC41B9"/>
    <w:rsid w:val="00EC43D6"/>
    <w:rsid w:val="00EC4767"/>
    <w:rsid w:val="00EC578B"/>
    <w:rsid w:val="00EC5C6A"/>
    <w:rsid w:val="00EC6548"/>
    <w:rsid w:val="00EC67C1"/>
    <w:rsid w:val="00EC688F"/>
    <w:rsid w:val="00EC68FF"/>
    <w:rsid w:val="00EC7173"/>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239D"/>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13A"/>
    <w:rsid w:val="00F0228D"/>
    <w:rsid w:val="00F029B9"/>
    <w:rsid w:val="00F0308B"/>
    <w:rsid w:val="00F0408C"/>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70D8"/>
    <w:rsid w:val="00F17ADD"/>
    <w:rsid w:val="00F17BE0"/>
    <w:rsid w:val="00F20599"/>
    <w:rsid w:val="00F216A3"/>
    <w:rsid w:val="00F21AE2"/>
    <w:rsid w:val="00F227FD"/>
    <w:rsid w:val="00F22A0F"/>
    <w:rsid w:val="00F247FD"/>
    <w:rsid w:val="00F2567D"/>
    <w:rsid w:val="00F263A5"/>
    <w:rsid w:val="00F26535"/>
    <w:rsid w:val="00F2672C"/>
    <w:rsid w:val="00F26C95"/>
    <w:rsid w:val="00F304AB"/>
    <w:rsid w:val="00F30834"/>
    <w:rsid w:val="00F33466"/>
    <w:rsid w:val="00F3385D"/>
    <w:rsid w:val="00F33C5B"/>
    <w:rsid w:val="00F33DC4"/>
    <w:rsid w:val="00F3461F"/>
    <w:rsid w:val="00F3481A"/>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66D"/>
    <w:rsid w:val="00F5093C"/>
    <w:rsid w:val="00F50C61"/>
    <w:rsid w:val="00F51555"/>
    <w:rsid w:val="00F53009"/>
    <w:rsid w:val="00F538DC"/>
    <w:rsid w:val="00F53BDA"/>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19"/>
    <w:rsid w:val="00F65137"/>
    <w:rsid w:val="00F65BF3"/>
    <w:rsid w:val="00F65DE6"/>
    <w:rsid w:val="00F664D6"/>
    <w:rsid w:val="00F67785"/>
    <w:rsid w:val="00F67E8C"/>
    <w:rsid w:val="00F71DF4"/>
    <w:rsid w:val="00F72371"/>
    <w:rsid w:val="00F72FA2"/>
    <w:rsid w:val="00F7309D"/>
    <w:rsid w:val="00F7310B"/>
    <w:rsid w:val="00F73FD4"/>
    <w:rsid w:val="00F74CBC"/>
    <w:rsid w:val="00F74D40"/>
    <w:rsid w:val="00F752DD"/>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CF5"/>
    <w:rsid w:val="00F92388"/>
    <w:rsid w:val="00F923F6"/>
    <w:rsid w:val="00F92BB9"/>
    <w:rsid w:val="00F92DC0"/>
    <w:rsid w:val="00F93C7B"/>
    <w:rsid w:val="00F93CCE"/>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77B"/>
    <w:rsid w:val="00FC4D3D"/>
    <w:rsid w:val="00FC5BF1"/>
    <w:rsid w:val="00FC63D8"/>
    <w:rsid w:val="00FC6961"/>
    <w:rsid w:val="00FC7D8D"/>
    <w:rsid w:val="00FD0F90"/>
    <w:rsid w:val="00FD1394"/>
    <w:rsid w:val="00FD1508"/>
    <w:rsid w:val="00FD1F1C"/>
    <w:rsid w:val="00FD2161"/>
    <w:rsid w:val="00FD2968"/>
    <w:rsid w:val="00FD2E4D"/>
    <w:rsid w:val="00FD2F3E"/>
    <w:rsid w:val="00FD4031"/>
    <w:rsid w:val="00FD52BF"/>
    <w:rsid w:val="00FD5986"/>
    <w:rsid w:val="00FD6288"/>
    <w:rsid w:val="00FD6F65"/>
    <w:rsid w:val="00FE0B77"/>
    <w:rsid w:val="00FE0E0E"/>
    <w:rsid w:val="00FE0FC6"/>
    <w:rsid w:val="00FE1316"/>
    <w:rsid w:val="00FE136D"/>
    <w:rsid w:val="00FE1BC2"/>
    <w:rsid w:val="00FE1F2F"/>
    <w:rsid w:val="00FE2C1A"/>
    <w:rsid w:val="00FE303F"/>
    <w:rsid w:val="00FE3889"/>
    <w:rsid w:val="00FE394F"/>
    <w:rsid w:val="00FE4069"/>
    <w:rsid w:val="00FE4294"/>
    <w:rsid w:val="00FE43E8"/>
    <w:rsid w:val="00FE499B"/>
    <w:rsid w:val="00FE501A"/>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501A"/>
    <w:rsid w:val="00FF643A"/>
    <w:rsid w:val="00FF6C81"/>
    <w:rsid w:val="00FF6E4F"/>
    <w:rsid w:val="00FF7352"/>
    <w:rsid w:val="00FF77EE"/>
    <w:rsid w:val="01174997"/>
    <w:rsid w:val="02031F04"/>
    <w:rsid w:val="02B319F8"/>
    <w:rsid w:val="0385C708"/>
    <w:rsid w:val="09F5088C"/>
    <w:rsid w:val="0B01F3DC"/>
    <w:rsid w:val="18D254C7"/>
    <w:rsid w:val="1ECD62A2"/>
    <w:rsid w:val="3C0DBEF9"/>
    <w:rsid w:val="48D319A4"/>
    <w:rsid w:val="51F7AA19"/>
    <w:rsid w:val="54D6568E"/>
    <w:rsid w:val="592D056D"/>
    <w:rsid w:val="6430C99B"/>
    <w:rsid w:val="72BD739D"/>
    <w:rsid w:val="7C0DD2A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6f7072">
      <v:fill color="none [3204]"/>
      <v:stroke color="#6f7072"/>
      <o:colormru v:ext="edit" colors="#fbba00"/>
    </o:shapedefaults>
    <o:shapelayout v:ext="edit">
      <o:idmap v:ext="edit" data="1"/>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rdtekst2">
    <w:name w:val="Body Text 2"/>
    <w:basedOn w:val="Normal"/>
    <w:link w:val="Brdtekst2Tegn"/>
    <w:uiPriority w:val="99"/>
    <w:semiHidden/>
    <w:unhideWhenUsed/>
    <w:rsid w:val="003D6C35"/>
    <w:pPr>
      <w:spacing w:after="120" w:line="480" w:lineRule="auto"/>
    </w:pPr>
  </w:style>
  <w:style w:type="character" w:customStyle="1" w:styleId="Brdtekst2Tegn">
    <w:name w:val="Brødtekst 2 Tegn"/>
    <w:basedOn w:val="Standardskriftforavsnitt"/>
    <w:link w:val="Brdtekst2"/>
    <w:uiPriority w:val="99"/>
    <w:semiHidden/>
    <w:rsid w:val="003D6C35"/>
    <w:rPr>
      <w:lang w:val="en-GB"/>
    </w:rPr>
  </w:style>
  <w:style w:type="character" w:styleId="Ulstomtale">
    <w:name w:val="Unresolved Mention"/>
    <w:basedOn w:val="Standardskriftforavsnitt"/>
    <w:uiPriority w:val="99"/>
    <w:semiHidden/>
    <w:unhideWhenUsed/>
    <w:rsid w:val="00D9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70965854">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grid.fi/en/"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Q6NKTZ4AMCD6-419941509-628</_dlc_DocId>
    <_dlc_DocIdUrl xmlns="3e32033b-3397-43fd-b72c-2b8d43b4dfe6">
      <Url>https://statnett.sharepoint.com/sites/SOAMaintenanceGroup_prs/_layouts/15/DocIdRedir.aspx?ID=Q6NKTZ4AMCD6-419941509-628</Url>
      <Description>Q6NKTZ4AMCD6-419941509-628</Description>
    </_dlc_DocIdUrl>
    <Sensitivity xmlns="4b02223f-79db-47c0-b5e8-5ec0321a0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3.xml><?xml version="1.0" encoding="utf-8"?>
<ds:datastoreItem xmlns:ds="http://schemas.openxmlformats.org/officeDocument/2006/customXml" ds:itemID="{11F933B7-3160-4331-8A8C-25233FBE087A}">
  <ds:schemaRefs>
    <ds:schemaRef ds:uri="http://schemas.openxmlformats.org/officeDocument/2006/bibliography"/>
  </ds:schemaRefs>
</ds:datastoreItem>
</file>

<file path=customXml/itemProps4.xml><?xml version="1.0" encoding="utf-8"?>
<ds:datastoreItem xmlns:ds="http://schemas.openxmlformats.org/officeDocument/2006/customXml" ds:itemID="{FA9DFE91-FD7B-47C3-B853-81DBE1184BF1}">
  <ds:schemaRefs>
    <ds:schemaRef ds:uri="http://schemas.microsoft.com/sharepoint/events"/>
  </ds:schemaRefs>
</ds:datastoreItem>
</file>

<file path=customXml/itemProps5.xml><?xml version="1.0" encoding="utf-8"?>
<ds:datastoreItem xmlns:ds="http://schemas.openxmlformats.org/officeDocument/2006/customXml" ds:itemID="{0BACBDBD-D2AF-4D89-AEE2-B5434D12D19D}"/>
</file>

<file path=customXml/itemProps6.xml><?xml version="1.0" encoding="utf-8"?>
<ds:datastoreItem xmlns:ds="http://schemas.openxmlformats.org/officeDocument/2006/customXml" ds:itemID="{919CD5C4-2042-49D6-8516-58F9BCA3419B}">
  <ds:schemaRefs>
    <ds:schemaRef ds:uri="http://schemas.microsoft.com/office/2006/metadata/properties"/>
    <ds:schemaRef ds:uri="http://schemas.microsoft.com/office/infopath/2007/PartnerControls"/>
    <ds:schemaRef ds:uri="3e32033b-3397-43fd-b72c-2b8d43b4dfe6"/>
    <ds:schemaRef ds:uri="4b02223f-79db-47c0-b5e8-5ec0321a0115"/>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31</TotalTime>
  <Pages>8</Pages>
  <Words>2066</Words>
  <Characters>10952</Characters>
  <Application>Microsoft Office Word</Application>
  <DocSecurity>0</DocSecurity>
  <Lines>91</Lines>
  <Paragraphs>25</Paragraphs>
  <ScaleCrop>false</ScaleCrop>
  <Company>Hewlett-Packard Company</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Western Danish and Swedish subsystems on the Konti-Skan 1 and 2 DC links</dc:title>
  <dc:creator>Koehring, Susanne</dc:creator>
  <cp:lastModifiedBy>Nina Wahl Gunderson</cp:lastModifiedBy>
  <cp:revision>41</cp:revision>
  <cp:lastPrinted>2017-01-17T08:28:00Z</cp:lastPrinted>
  <dcterms:created xsi:type="dcterms:W3CDTF">2022-01-20T15:23:00Z</dcterms:created>
  <dcterms:modified xsi:type="dcterms:W3CDTF">2022-06-15T10:49:00Z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230970c9-fbf4-4c17-bd81-0a46522eabed</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2022-05-23T11:15:42Z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d0fda405-fb98-4811-9eb2-c10488a61e15</vt:lpwstr>
  </property>
  <property fmtid="{D5CDD505-2E9C-101B-9397-08002B2CF9AE}" pid="13" name="MSIP_Label_c3d85773-5cd5-4f10-ac4a-b9714896040c_ContentBits">
    <vt:lpwstr>0</vt:lpwstr>
  </property>
</Properties>
</file>