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r w:rsidRPr="002313F8">
        <w:rPr>
          <w:noProof/>
          <w:lang w:val="de-DE" w:eastAsia="de-DE"/>
        </w:rPr>
        <w:drawing>
          <wp:anchor distT="0" distB="0" distL="114300" distR="114300" simplePos="0" relativeHeight="251658241" behindDoc="0" locked="0" layoutInCell="1" allowOverlap="1" wp14:anchorId="4388EC4C" wp14:editId="76DDE630">
            <wp:simplePos x="0" y="0"/>
            <wp:positionH relativeFrom="rightMargin">
              <wp:posOffset>-2940685</wp:posOffset>
            </wp:positionH>
            <wp:positionV relativeFrom="insideMargin">
              <wp:posOffset>-1809115</wp:posOffset>
            </wp:positionV>
            <wp:extent cx="1514475" cy="381000"/>
            <wp:effectExtent l="19050" t="0" r="9525" b="0"/>
            <wp:wrapNone/>
            <wp:docPr id="9"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3" cstate="print"/>
                    <a:stretch>
                      <a:fillRect/>
                    </a:stretch>
                  </pic:blipFill>
                  <pic:spPr>
                    <a:xfrm>
                      <a:off x="0" y="0"/>
                      <a:ext cx="1514475" cy="381000"/>
                    </a:xfrm>
                    <a:prstGeom prst="rect">
                      <a:avLst/>
                    </a:prstGeom>
                  </pic:spPr>
                </pic:pic>
              </a:graphicData>
            </a:graphic>
          </wp:anchor>
        </w:drawing>
      </w:r>
    </w:p>
    <w:p w14:paraId="1D3C1A3A" w14:textId="4A6B6D73" w:rsidR="00784FA8" w:rsidRDefault="00D14881" w:rsidP="00C404FC">
      <w:pPr>
        <w:pStyle w:val="Blocksatz"/>
        <w:rPr>
          <w:noProof/>
          <w:lang w:eastAsia="de-DE"/>
        </w:rPr>
      </w:pPr>
      <w:r w:rsidRPr="002313F8">
        <w:rPr>
          <w:noProof/>
          <w:lang w:val="de-DE" w:eastAsia="de-DE"/>
        </w:rPr>
        <w:drawing>
          <wp:anchor distT="0" distB="0" distL="114300" distR="114300" simplePos="0" relativeHeight="251658240" behindDoc="0" locked="0" layoutInCell="1" allowOverlap="1" wp14:anchorId="39D4C3B0" wp14:editId="7D175EDD">
            <wp:simplePos x="0" y="0"/>
            <wp:positionH relativeFrom="rightMargin">
              <wp:posOffset>-2940685</wp:posOffset>
            </wp:positionH>
            <wp:positionV relativeFrom="insideMargin">
              <wp:posOffset>-1809115</wp:posOffset>
            </wp:positionV>
            <wp:extent cx="1514475" cy="381000"/>
            <wp:effectExtent l="19050" t="0" r="9525" b="0"/>
            <wp:wrapNone/>
            <wp:docPr id="22"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3" cstate="print"/>
                    <a:stretch>
                      <a:fillRect/>
                    </a:stretch>
                  </pic:blipFill>
                  <pic:spPr>
                    <a:xfrm>
                      <a:off x="0" y="0"/>
                      <a:ext cx="1514475" cy="381000"/>
                    </a:xfrm>
                    <a:prstGeom prst="rect">
                      <a:avLst/>
                    </a:prstGeom>
                  </pic:spPr>
                </pic:pic>
              </a:graphicData>
            </a:graphic>
          </wp:anchor>
        </w:drawing>
      </w: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de-DE" w:eastAsia="de-DE"/>
        </w:rPr>
        <mc:AlternateContent>
          <mc:Choice Requires="wps">
            <w:drawing>
              <wp:anchor distT="0" distB="0" distL="114300" distR="114300" simplePos="0" relativeHeight="251658242"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Gitter"/>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82FC6"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Content>
                                  <w:tc>
                                    <w:tcPr>
                                      <w:tcW w:w="7838" w:type="dxa"/>
                                      <w:gridSpan w:val="5"/>
                                    </w:tcPr>
                                    <w:p w14:paraId="5471D4E9" w14:textId="2AEA7E32" w:rsidR="00582FC6" w:rsidRPr="006A1DCE" w:rsidRDefault="00582FC6" w:rsidP="000868F9">
                                      <w:pPr>
                                        <w:pStyle w:val="Deckblatt-Titel"/>
                                      </w:pPr>
                                      <w:r w:rsidRPr="00B13FDC">
                                        <w:t>Joint operation between the Norwegian and Western Danish subsystems on the DC links Skagerrak poles 1, 2, 3 and 4</w:t>
                                      </w:r>
                                    </w:p>
                                  </w:tc>
                                </w:sdtContent>
                              </w:sdt>
                            </w:tr>
                            <w:tr w:rsidR="00582FC6" w:rsidRPr="0066249A" w14:paraId="4700BC72" w14:textId="77777777" w:rsidTr="00D40634">
                              <w:trPr>
                                <w:gridAfter w:val="1"/>
                                <w:wAfter w:w="63" w:type="dxa"/>
                                <w:cantSplit/>
                                <w:trHeight w:val="944"/>
                                <w:jc w:val="center"/>
                              </w:trPr>
                              <w:tc>
                                <w:tcPr>
                                  <w:tcW w:w="7838" w:type="dxa"/>
                                  <w:gridSpan w:val="5"/>
                                </w:tcPr>
                                <w:p w14:paraId="32992C0C" w14:textId="566F31DD" w:rsidR="00582FC6" w:rsidRDefault="00582FC6" w:rsidP="003A5E12">
                                  <w:pPr>
                                    <w:pStyle w:val="Deckblatt-Untertitel"/>
                                  </w:pPr>
                                  <w:r>
                                    <w:t>Appendix 4 to SOA Annex OS</w:t>
                                  </w:r>
                                  <w:r w:rsidR="00B5747E">
                                    <w:t xml:space="preserve"> (NO and DK1)</w:t>
                                  </w:r>
                                </w:p>
                                <w:p w14:paraId="13FF5F89" w14:textId="2678AC77" w:rsidR="00582FC6" w:rsidRPr="006A1DCE" w:rsidRDefault="00582FC6" w:rsidP="003A5E12">
                                  <w:pPr>
                                    <w:pStyle w:val="Deckblatt-Untertitel"/>
                                  </w:pPr>
                                </w:p>
                              </w:tc>
                            </w:tr>
                            <w:tr w:rsidR="00582FC6" w:rsidRPr="00D702C7" w14:paraId="774581F6" w14:textId="77777777" w:rsidTr="00D40634">
                              <w:trPr>
                                <w:gridAfter w:val="1"/>
                                <w:wAfter w:w="63" w:type="dxa"/>
                                <w:cantSplit/>
                                <w:trHeight w:val="792"/>
                                <w:jc w:val="center"/>
                              </w:trPr>
                              <w:tc>
                                <w:tcPr>
                                  <w:tcW w:w="7838" w:type="dxa"/>
                                  <w:gridSpan w:val="5"/>
                                </w:tcPr>
                                <w:p w14:paraId="024A4BAB" w14:textId="77777777" w:rsidR="00582FC6" w:rsidRPr="00D702C7" w:rsidRDefault="00582FC6" w:rsidP="000868F9">
                                  <w:pPr>
                                    <w:pStyle w:val="Deckblatt-Untertitel"/>
                                    <w:rPr>
                                      <w:lang w:val="en-US"/>
                                    </w:rPr>
                                  </w:pPr>
                                </w:p>
                              </w:tc>
                            </w:tr>
                            <w:tr w:rsidR="00582FC6" w:rsidRPr="00D005B3" w14:paraId="14C6DF5B" w14:textId="77777777" w:rsidTr="00D40634">
                              <w:trPr>
                                <w:gridAfter w:val="1"/>
                                <w:wAfter w:w="63" w:type="dxa"/>
                                <w:cantSplit/>
                                <w:trHeight w:val="555"/>
                                <w:jc w:val="center"/>
                              </w:trPr>
                              <w:tc>
                                <w:tcPr>
                                  <w:tcW w:w="7838" w:type="dxa"/>
                                  <w:gridSpan w:val="5"/>
                                </w:tcPr>
                                <w:p w14:paraId="4097A5F8" w14:textId="77777777" w:rsidR="00582FC6" w:rsidRPr="006A1DCE" w:rsidRDefault="00582FC6" w:rsidP="000868F9">
                                  <w:pPr>
                                    <w:pStyle w:val="Deckblatt-Untertitel2"/>
                                    <w:rPr>
                                      <w:rFonts w:cs="Segoe UI"/>
                                    </w:rPr>
                                  </w:pPr>
                                </w:p>
                              </w:tc>
                            </w:tr>
                            <w:tr w:rsidR="00582FC6" w:rsidRPr="00D27E86" w14:paraId="62F92F03" w14:textId="77777777" w:rsidTr="00D40634">
                              <w:trPr>
                                <w:gridAfter w:val="1"/>
                                <w:wAfter w:w="63" w:type="dxa"/>
                                <w:cantSplit/>
                                <w:trHeight w:val="556"/>
                                <w:jc w:val="center"/>
                              </w:trPr>
                              <w:tc>
                                <w:tcPr>
                                  <w:tcW w:w="7838" w:type="dxa"/>
                                  <w:gridSpan w:val="5"/>
                                </w:tcPr>
                                <w:p w14:paraId="2C736BBE" w14:textId="0D243F1F" w:rsidR="00582FC6" w:rsidRPr="006A1DCE" w:rsidRDefault="00582FC6" w:rsidP="000868F9">
                                  <w:pPr>
                                    <w:pStyle w:val="Deckblatt-Untertitel2"/>
                                  </w:pPr>
                                </w:p>
                              </w:tc>
                            </w:tr>
                            <w:tr w:rsidR="00582FC6" w:rsidRPr="00D27E86" w14:paraId="2BBC248D" w14:textId="77777777" w:rsidTr="00D40634">
                              <w:trPr>
                                <w:gridAfter w:val="1"/>
                                <w:wAfter w:w="63" w:type="dxa"/>
                                <w:cantSplit/>
                                <w:trHeight w:val="556"/>
                                <w:jc w:val="center"/>
                              </w:trPr>
                              <w:tc>
                                <w:tcPr>
                                  <w:tcW w:w="7838" w:type="dxa"/>
                                  <w:gridSpan w:val="5"/>
                                </w:tcPr>
                                <w:p w14:paraId="0C8D81E0" w14:textId="42963D9C" w:rsidR="00582FC6" w:rsidRPr="006A1DCE" w:rsidRDefault="00582FC6" w:rsidP="000868F9">
                                  <w:pPr>
                                    <w:pStyle w:val="Deckblatt-Untertitel2"/>
                                  </w:pPr>
                                </w:p>
                              </w:tc>
                            </w:tr>
                            <w:tr w:rsidR="00582FC6" w14:paraId="6D2CCC4C" w14:textId="77777777" w:rsidTr="006435AC">
                              <w:trPr>
                                <w:cantSplit/>
                                <w:trHeight w:hRule="exact" w:val="1230"/>
                                <w:jc w:val="center"/>
                              </w:trPr>
                              <w:tc>
                                <w:tcPr>
                                  <w:tcW w:w="1580" w:type="dxa"/>
                                  <w:vAlign w:val="bottom"/>
                                </w:tcPr>
                                <w:p w14:paraId="6BD2F536" w14:textId="77777777" w:rsidR="00582FC6" w:rsidRDefault="00582FC6"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82FC6" w:rsidRDefault="00582FC6"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82FC6" w:rsidRPr="006A1DCE" w:rsidRDefault="00582FC6"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82FC6" w:rsidRDefault="00582FC6"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82FC6" w:rsidRDefault="00582FC6"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9">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82FC6" w:rsidRPr="00FF77EE" w:rsidRDefault="00582FC6"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" strokecolor="#6f7072">
                <v:fill opacity="55769f"/>
                <o:lock v:ext="edit" aspectratio="t"/>
                <v:textbox>
                  <w:txbxContent>
                    <w:tbl>
                      <w:tblPr>
                        <w:tblStyle w:val="Tabel-Gitter"/>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82FC6"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Content>
                            <w:tc>
                              <w:tcPr>
                                <w:tcW w:w="7838" w:type="dxa"/>
                                <w:gridSpan w:val="5"/>
                              </w:tcPr>
                              <w:p w14:paraId="5471D4E9" w14:textId="2AEA7E32" w:rsidR="00582FC6" w:rsidRPr="006A1DCE" w:rsidRDefault="00582FC6" w:rsidP="000868F9">
                                <w:pPr>
                                  <w:pStyle w:val="Deckblatt-Titel"/>
                                </w:pPr>
                                <w:r w:rsidRPr="00B13FDC">
                                  <w:t>Joint operation between the Norwegian and Western Danish subsystems on the DC links Skagerrak poles 1, 2, 3 and 4</w:t>
                                </w:r>
                              </w:p>
                            </w:tc>
                          </w:sdtContent>
                        </w:sdt>
                      </w:tr>
                      <w:tr w:rsidR="00582FC6" w:rsidRPr="0066249A" w14:paraId="4700BC72" w14:textId="77777777" w:rsidTr="00D40634">
                        <w:trPr>
                          <w:gridAfter w:val="1"/>
                          <w:wAfter w:w="63" w:type="dxa"/>
                          <w:cantSplit/>
                          <w:trHeight w:val="944"/>
                          <w:jc w:val="center"/>
                        </w:trPr>
                        <w:tc>
                          <w:tcPr>
                            <w:tcW w:w="7838" w:type="dxa"/>
                            <w:gridSpan w:val="5"/>
                          </w:tcPr>
                          <w:p w14:paraId="32992C0C" w14:textId="566F31DD" w:rsidR="00582FC6" w:rsidRDefault="00582FC6" w:rsidP="003A5E12">
                            <w:pPr>
                              <w:pStyle w:val="Deckblatt-Untertitel"/>
                            </w:pPr>
                            <w:r>
                              <w:t>Appendix 4 to SOA Annex OS</w:t>
                            </w:r>
                            <w:r w:rsidR="00B5747E">
                              <w:t xml:space="preserve"> (NO and DK1)</w:t>
                            </w:r>
                          </w:p>
                          <w:p w14:paraId="13FF5F89" w14:textId="2678AC77" w:rsidR="00582FC6" w:rsidRPr="006A1DCE" w:rsidRDefault="00582FC6" w:rsidP="003A5E12">
                            <w:pPr>
                              <w:pStyle w:val="Deckblatt-Untertitel"/>
                            </w:pPr>
                          </w:p>
                        </w:tc>
                      </w:tr>
                      <w:tr w:rsidR="00582FC6" w:rsidRPr="00D702C7" w14:paraId="774581F6" w14:textId="77777777" w:rsidTr="00D40634">
                        <w:trPr>
                          <w:gridAfter w:val="1"/>
                          <w:wAfter w:w="63" w:type="dxa"/>
                          <w:cantSplit/>
                          <w:trHeight w:val="792"/>
                          <w:jc w:val="center"/>
                        </w:trPr>
                        <w:tc>
                          <w:tcPr>
                            <w:tcW w:w="7838" w:type="dxa"/>
                            <w:gridSpan w:val="5"/>
                          </w:tcPr>
                          <w:p w14:paraId="024A4BAB" w14:textId="77777777" w:rsidR="00582FC6" w:rsidRPr="00D702C7" w:rsidRDefault="00582FC6" w:rsidP="000868F9">
                            <w:pPr>
                              <w:pStyle w:val="Deckblatt-Untertitel"/>
                              <w:rPr>
                                <w:lang w:val="en-US"/>
                              </w:rPr>
                            </w:pPr>
                          </w:p>
                        </w:tc>
                      </w:tr>
                      <w:tr w:rsidR="00582FC6" w:rsidRPr="00D005B3" w14:paraId="14C6DF5B" w14:textId="77777777" w:rsidTr="00D40634">
                        <w:trPr>
                          <w:gridAfter w:val="1"/>
                          <w:wAfter w:w="63" w:type="dxa"/>
                          <w:cantSplit/>
                          <w:trHeight w:val="555"/>
                          <w:jc w:val="center"/>
                        </w:trPr>
                        <w:tc>
                          <w:tcPr>
                            <w:tcW w:w="7838" w:type="dxa"/>
                            <w:gridSpan w:val="5"/>
                          </w:tcPr>
                          <w:p w14:paraId="4097A5F8" w14:textId="77777777" w:rsidR="00582FC6" w:rsidRPr="006A1DCE" w:rsidRDefault="00582FC6" w:rsidP="000868F9">
                            <w:pPr>
                              <w:pStyle w:val="Deckblatt-Untertitel2"/>
                              <w:rPr>
                                <w:rFonts w:cs="Segoe UI"/>
                              </w:rPr>
                            </w:pPr>
                          </w:p>
                        </w:tc>
                      </w:tr>
                      <w:tr w:rsidR="00582FC6" w:rsidRPr="00D27E86" w14:paraId="62F92F03" w14:textId="77777777" w:rsidTr="00D40634">
                        <w:trPr>
                          <w:gridAfter w:val="1"/>
                          <w:wAfter w:w="63" w:type="dxa"/>
                          <w:cantSplit/>
                          <w:trHeight w:val="556"/>
                          <w:jc w:val="center"/>
                        </w:trPr>
                        <w:tc>
                          <w:tcPr>
                            <w:tcW w:w="7838" w:type="dxa"/>
                            <w:gridSpan w:val="5"/>
                          </w:tcPr>
                          <w:p w14:paraId="2C736BBE" w14:textId="0D243F1F" w:rsidR="00582FC6" w:rsidRPr="006A1DCE" w:rsidRDefault="00582FC6" w:rsidP="000868F9">
                            <w:pPr>
                              <w:pStyle w:val="Deckblatt-Untertitel2"/>
                            </w:pPr>
                          </w:p>
                        </w:tc>
                      </w:tr>
                      <w:tr w:rsidR="00582FC6" w:rsidRPr="00D27E86" w14:paraId="2BBC248D" w14:textId="77777777" w:rsidTr="00D40634">
                        <w:trPr>
                          <w:gridAfter w:val="1"/>
                          <w:wAfter w:w="63" w:type="dxa"/>
                          <w:cantSplit/>
                          <w:trHeight w:val="556"/>
                          <w:jc w:val="center"/>
                        </w:trPr>
                        <w:tc>
                          <w:tcPr>
                            <w:tcW w:w="7838" w:type="dxa"/>
                            <w:gridSpan w:val="5"/>
                          </w:tcPr>
                          <w:p w14:paraId="0C8D81E0" w14:textId="42963D9C" w:rsidR="00582FC6" w:rsidRPr="006A1DCE" w:rsidRDefault="00582FC6" w:rsidP="000868F9">
                            <w:pPr>
                              <w:pStyle w:val="Deckblatt-Untertitel2"/>
                            </w:pPr>
                          </w:p>
                        </w:tc>
                      </w:tr>
                      <w:tr w:rsidR="00582FC6" w14:paraId="6D2CCC4C" w14:textId="77777777" w:rsidTr="006435AC">
                        <w:trPr>
                          <w:cantSplit/>
                          <w:trHeight w:hRule="exact" w:val="1230"/>
                          <w:jc w:val="center"/>
                        </w:trPr>
                        <w:tc>
                          <w:tcPr>
                            <w:tcW w:w="1580" w:type="dxa"/>
                            <w:vAlign w:val="bottom"/>
                          </w:tcPr>
                          <w:p w14:paraId="6BD2F536" w14:textId="77777777" w:rsidR="00582FC6" w:rsidRDefault="00582FC6"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82FC6" w:rsidRDefault="00582FC6"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82FC6" w:rsidRPr="006A1DCE" w:rsidRDefault="00582FC6"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82FC6" w:rsidRDefault="00582FC6"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82FC6" w:rsidRDefault="00582FC6"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9">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82FC6" w:rsidRPr="00FF77EE" w:rsidRDefault="00582FC6"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fremhvningsfarv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rk"/>
                <w:b/>
                <w:bCs/>
                <w:color w:val="FFFFFF"/>
                <w:szCs w:val="20"/>
              </w:rPr>
            </w:pPr>
            <w:r w:rsidRPr="003275F1">
              <w:rPr>
                <w:rStyle w:val="St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rk"/>
                <w:b/>
                <w:bCs/>
                <w:color w:val="FFFFFF"/>
                <w:szCs w:val="20"/>
              </w:rPr>
            </w:pPr>
            <w:r w:rsidRPr="003275F1">
              <w:rPr>
                <w:rStyle w:val="St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rk"/>
                <w:b/>
                <w:bCs/>
                <w:color w:val="FFFFFF"/>
                <w:szCs w:val="20"/>
              </w:rPr>
            </w:pPr>
            <w:r w:rsidRPr="003275F1">
              <w:rPr>
                <w:rStyle w:val="Strk"/>
                <w:b/>
                <w:color w:val="FFFFFF"/>
                <w:szCs w:val="20"/>
              </w:rPr>
              <w:t>Revision</w:t>
            </w:r>
          </w:p>
        </w:tc>
      </w:tr>
      <w:tr w:rsidR="000868F9" w:rsidRPr="002D4035"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26F81CD3" w:rsidR="000868F9" w:rsidRPr="004F10B7" w:rsidRDefault="004F10B7" w:rsidP="006435AC">
            <w:pPr>
              <w:rPr>
                <w:rStyle w:val="Strk"/>
                <w:bCs/>
                <w:szCs w:val="20"/>
              </w:rPr>
            </w:pPr>
            <w:r>
              <w:rPr>
                <w:rStyle w:val="Strk"/>
                <w:bCs/>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15A78345" w:rsidR="000868F9" w:rsidRPr="002D4035" w:rsidRDefault="004F10B7" w:rsidP="006435AC">
            <w:pPr>
              <w:rPr>
                <w:rStyle w:val="Strk"/>
                <w:b w:val="0"/>
                <w:szCs w:val="20"/>
              </w:rPr>
            </w:pPr>
            <w:r>
              <w:rPr>
                <w:rStyle w:val="Strk"/>
                <w:b w:val="0"/>
                <w:szCs w:val="20"/>
              </w:rPr>
              <w:t>2022-06-22</w:t>
            </w:r>
          </w:p>
        </w:tc>
        <w:tc>
          <w:tcPr>
            <w:tcW w:w="3827" w:type="dxa"/>
            <w:tcBorders>
              <w:left w:val="nil"/>
            </w:tcBorders>
          </w:tcPr>
          <w:p w14:paraId="440D36AA" w14:textId="24737216" w:rsidR="000868F9" w:rsidRPr="00BD7950" w:rsidRDefault="00D625F2" w:rsidP="006435AC">
            <w:pPr>
              <w:cnfStyle w:val="000000100000" w:firstRow="0" w:lastRow="0" w:firstColumn="0" w:lastColumn="0" w:oddVBand="0" w:evenVBand="0" w:oddHBand="1" w:evenHBand="0" w:firstRowFirstColumn="0" w:firstRowLastColumn="0" w:lastRowFirstColumn="0" w:lastRowLastColumn="0"/>
              <w:rPr>
                <w:rStyle w:val="Strk"/>
                <w:b w:val="0"/>
                <w:szCs w:val="20"/>
              </w:rPr>
            </w:pPr>
            <w:r>
              <w:rPr>
                <w:rStyle w:val="Strk"/>
                <w:b w:val="0"/>
                <w:szCs w:val="20"/>
              </w:rPr>
              <w:t>Initial version based on old SOA</w:t>
            </w:r>
          </w:p>
        </w:tc>
      </w:tr>
      <w:tr w:rsidR="000868F9"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868F9" w:rsidRPr="00BD7950" w:rsidRDefault="000868F9" w:rsidP="006435AC">
            <w:pPr>
              <w:rPr>
                <w:rStyle w:val="Strk"/>
                <w:b w:val="0"/>
                <w:szCs w:val="20"/>
              </w:rPr>
            </w:pPr>
          </w:p>
        </w:tc>
        <w:tc>
          <w:tcPr>
            <w:tcW w:w="3827" w:type="dxa"/>
            <w:tcBorders>
              <w:top w:val="nil"/>
              <w:left w:val="nil"/>
              <w:bottom w:val="nil"/>
              <w:right w:val="single" w:sz="8" w:space="0" w:color="002F56" w:themeColor="accent2"/>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rk"/>
                <w:b w:val="0"/>
                <w:szCs w:val="20"/>
              </w:rPr>
            </w:pPr>
          </w:p>
        </w:tc>
      </w:tr>
      <w:tr w:rsidR="000868F9"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868F9" w:rsidRPr="00BD7950" w:rsidRDefault="000868F9" w:rsidP="006435AC">
            <w:pPr>
              <w:rPr>
                <w:rStyle w:val="Strk"/>
                <w:b w:val="0"/>
                <w:szCs w:val="20"/>
              </w:rPr>
            </w:pPr>
          </w:p>
        </w:tc>
        <w:tc>
          <w:tcPr>
            <w:tcW w:w="3827" w:type="dxa"/>
            <w:tcBorders>
              <w:left w:val="nil"/>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rk"/>
                <w:b w:val="0"/>
                <w:szCs w:val="20"/>
              </w:rPr>
            </w:pPr>
          </w:p>
        </w:tc>
      </w:tr>
      <w:tr w:rsidR="000868F9"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868F9" w:rsidRPr="00BD7950" w:rsidRDefault="000868F9" w:rsidP="006435AC">
            <w:pPr>
              <w:rPr>
                <w:rStyle w:val="Strk"/>
                <w:b w:val="0"/>
                <w:szCs w:val="20"/>
              </w:rPr>
            </w:pPr>
          </w:p>
        </w:tc>
        <w:tc>
          <w:tcPr>
            <w:tcW w:w="3827" w:type="dxa"/>
            <w:tcBorders>
              <w:top w:val="nil"/>
              <w:left w:val="nil"/>
              <w:bottom w:val="nil"/>
              <w:right w:val="single" w:sz="8" w:space="0" w:color="002F56" w:themeColor="accent2"/>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rk"/>
                <w:b w:val="0"/>
                <w:szCs w:val="20"/>
              </w:rPr>
            </w:pPr>
          </w:p>
        </w:tc>
      </w:tr>
      <w:tr w:rsidR="000868F9"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868F9" w:rsidRPr="00BD7950" w:rsidRDefault="000868F9" w:rsidP="006435AC">
            <w:pPr>
              <w:rPr>
                <w:rStyle w:val="Strk"/>
                <w:b w:val="0"/>
                <w:szCs w:val="20"/>
              </w:rPr>
            </w:pPr>
          </w:p>
        </w:tc>
        <w:tc>
          <w:tcPr>
            <w:tcW w:w="3827" w:type="dxa"/>
            <w:tcBorders>
              <w:left w:val="nil"/>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rk"/>
                <w:b w:val="0"/>
                <w:szCs w:val="20"/>
              </w:rPr>
            </w:pPr>
          </w:p>
        </w:tc>
      </w:tr>
      <w:tr w:rsidR="000868F9"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868F9" w:rsidRPr="00BD7950" w:rsidRDefault="000868F9" w:rsidP="006435AC">
            <w:pPr>
              <w:rPr>
                <w:rStyle w:val="Strk"/>
                <w:b w:val="0"/>
                <w:szCs w:val="20"/>
              </w:rPr>
            </w:pPr>
          </w:p>
        </w:tc>
        <w:tc>
          <w:tcPr>
            <w:tcW w:w="3827" w:type="dxa"/>
            <w:tcBorders>
              <w:top w:val="nil"/>
              <w:left w:val="nil"/>
              <w:bottom w:val="nil"/>
              <w:right w:val="single" w:sz="8" w:space="0" w:color="002F56" w:themeColor="accent2"/>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rk"/>
                <w:b w:val="0"/>
                <w:szCs w:val="20"/>
              </w:rPr>
            </w:pPr>
          </w:p>
        </w:tc>
      </w:tr>
      <w:tr w:rsidR="000868F9"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868F9" w:rsidRPr="00BD7950" w:rsidRDefault="000868F9" w:rsidP="006435AC">
            <w:pPr>
              <w:rPr>
                <w:rStyle w:val="St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868F9" w:rsidRPr="00BD7950" w:rsidRDefault="000868F9" w:rsidP="006435AC">
            <w:pPr>
              <w:rPr>
                <w:rStyle w:val="Strk"/>
                <w:b w:val="0"/>
                <w:szCs w:val="20"/>
              </w:rPr>
            </w:pPr>
          </w:p>
        </w:tc>
        <w:tc>
          <w:tcPr>
            <w:tcW w:w="3827" w:type="dxa"/>
            <w:tcBorders>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rk"/>
                <w:b w:val="0"/>
                <w:szCs w:val="20"/>
              </w:rPr>
            </w:pPr>
          </w:p>
        </w:tc>
      </w:tr>
    </w:tbl>
    <w:p w14:paraId="643AFBA3" w14:textId="77777777" w:rsidR="000868F9" w:rsidRDefault="000868F9" w:rsidP="000868F9">
      <w:pPr>
        <w:tabs>
          <w:tab w:val="left" w:pos="9660"/>
        </w:tabs>
        <w:rPr>
          <w:noProof/>
          <w:lang w:eastAsia="de-DE"/>
        </w:rPr>
      </w:pPr>
    </w:p>
    <w:p w14:paraId="49831510" w14:textId="77777777" w:rsidR="00E975E8" w:rsidRDefault="00E975E8">
      <w:pPr>
        <w:rPr>
          <w:lang w:eastAsia="de-DE"/>
        </w:rPr>
      </w:pPr>
      <w:r>
        <w:rPr>
          <w:lang w:eastAsia="de-DE"/>
        </w:rPr>
        <w:br w:type="page"/>
      </w:r>
    </w:p>
    <w:sdt>
      <w:sdtPr>
        <w:rPr>
          <w:rFonts w:ascii="Segoe UI Light" w:eastAsiaTheme="minorHAnsi" w:hAnsi="Segoe UI Light" w:cstheme="minorBidi"/>
          <w:bCs w:val="0"/>
          <w:color w:val="auto"/>
          <w:sz w:val="22"/>
          <w:szCs w:val="22"/>
          <w:lang w:val="da-DK" w:bidi="ar-SA"/>
        </w:rPr>
        <w:id w:val="-1846392055"/>
        <w:docPartObj>
          <w:docPartGallery w:val="Table of Contents"/>
          <w:docPartUnique/>
        </w:docPartObj>
      </w:sdtPr>
      <w:sdtEndPr>
        <w:rPr>
          <w:b/>
          <w:lang w:val="en-GB"/>
        </w:rPr>
      </w:sdtEndPr>
      <w:sdtContent>
        <w:p w14:paraId="06A1DDBA" w14:textId="581ADEEC" w:rsidR="00E975E8" w:rsidRDefault="00E975E8">
          <w:pPr>
            <w:pStyle w:val="Overskrift"/>
          </w:pPr>
          <w:r>
            <w:rPr>
              <w:lang w:val="da-DK"/>
            </w:rPr>
            <w:t>Table of contents</w:t>
          </w:r>
        </w:p>
        <w:p w14:paraId="758BB638" w14:textId="493CF22C" w:rsidR="00367EC9" w:rsidRDefault="00E975E8">
          <w:pPr>
            <w:pStyle w:val="Indholdsfortegnelse1"/>
            <w:rPr>
              <w:rFonts w:asciiTheme="minorHAnsi" w:eastAsiaTheme="minorEastAsia" w:hAnsiTheme="minorHAnsi" w:cstheme="minorBidi"/>
              <w:b w:val="0"/>
              <w:bCs w:val="0"/>
              <w:iCs w:val="0"/>
              <w:color w:val="auto"/>
              <w:sz w:val="22"/>
              <w:szCs w:val="22"/>
              <w:lang w:val="da-DK" w:eastAsia="da-DK"/>
            </w:rPr>
          </w:pPr>
          <w:r>
            <w:fldChar w:fldCharType="begin"/>
          </w:r>
          <w:r>
            <w:instrText xml:space="preserve"> TOC \o "1-3" \h \z \u </w:instrText>
          </w:r>
          <w:r>
            <w:fldChar w:fldCharType="separate"/>
          </w:r>
          <w:hyperlink w:anchor="_Toc113005695" w:history="1">
            <w:r w:rsidR="00367EC9" w:rsidRPr="009916F6">
              <w:rPr>
                <w:rStyle w:val="Hyperlink"/>
                <w:lang w:bidi="ar-QA"/>
              </w:rPr>
              <w:t>1</w:t>
            </w:r>
            <w:r w:rsidR="00367EC9">
              <w:rPr>
                <w:rFonts w:asciiTheme="minorHAnsi" w:eastAsiaTheme="minorEastAsia" w:hAnsiTheme="minorHAnsi" w:cstheme="minorBidi"/>
                <w:b w:val="0"/>
                <w:bCs w:val="0"/>
                <w:iCs w:val="0"/>
                <w:color w:val="auto"/>
                <w:sz w:val="22"/>
                <w:szCs w:val="22"/>
                <w:lang w:val="da-DK" w:eastAsia="da-DK"/>
              </w:rPr>
              <w:tab/>
            </w:r>
            <w:r w:rsidR="00367EC9" w:rsidRPr="009916F6">
              <w:rPr>
                <w:rStyle w:val="Hyperlink"/>
                <w:lang w:bidi="ar-QA"/>
              </w:rPr>
              <w:t>Background</w:t>
            </w:r>
            <w:r w:rsidR="00367EC9">
              <w:rPr>
                <w:webHidden/>
              </w:rPr>
              <w:tab/>
            </w:r>
            <w:r w:rsidR="00367EC9">
              <w:rPr>
                <w:webHidden/>
              </w:rPr>
              <w:fldChar w:fldCharType="begin"/>
            </w:r>
            <w:r w:rsidR="00367EC9">
              <w:rPr>
                <w:webHidden/>
              </w:rPr>
              <w:instrText xml:space="preserve"> PAGEREF _Toc113005695 \h </w:instrText>
            </w:r>
            <w:r w:rsidR="00367EC9">
              <w:rPr>
                <w:webHidden/>
              </w:rPr>
            </w:r>
            <w:r w:rsidR="00367EC9">
              <w:rPr>
                <w:webHidden/>
              </w:rPr>
              <w:fldChar w:fldCharType="separate"/>
            </w:r>
            <w:r w:rsidR="00367EC9">
              <w:rPr>
                <w:webHidden/>
              </w:rPr>
              <w:t>3</w:t>
            </w:r>
            <w:r w:rsidR="00367EC9">
              <w:rPr>
                <w:webHidden/>
              </w:rPr>
              <w:fldChar w:fldCharType="end"/>
            </w:r>
          </w:hyperlink>
        </w:p>
        <w:p w14:paraId="0BDA7344" w14:textId="3C1AE9E7" w:rsidR="00367EC9" w:rsidRDefault="00000000">
          <w:pPr>
            <w:pStyle w:val="Indholdsfortegnelse1"/>
            <w:rPr>
              <w:rFonts w:asciiTheme="minorHAnsi" w:eastAsiaTheme="minorEastAsia" w:hAnsiTheme="minorHAnsi" w:cstheme="minorBidi"/>
              <w:b w:val="0"/>
              <w:bCs w:val="0"/>
              <w:iCs w:val="0"/>
              <w:color w:val="auto"/>
              <w:sz w:val="22"/>
              <w:szCs w:val="22"/>
              <w:lang w:val="da-DK" w:eastAsia="da-DK"/>
            </w:rPr>
          </w:pPr>
          <w:hyperlink w:anchor="_Toc113005696" w:history="1">
            <w:r w:rsidR="00367EC9" w:rsidRPr="009916F6">
              <w:rPr>
                <w:rStyle w:val="Hyperlink"/>
                <w:lang w:bidi="ar-QA"/>
              </w:rPr>
              <w:t>2</w:t>
            </w:r>
            <w:r w:rsidR="00367EC9">
              <w:rPr>
                <w:rFonts w:asciiTheme="minorHAnsi" w:eastAsiaTheme="minorEastAsia" w:hAnsiTheme="minorHAnsi" w:cstheme="minorBidi"/>
                <w:b w:val="0"/>
                <w:bCs w:val="0"/>
                <w:iCs w:val="0"/>
                <w:color w:val="auto"/>
                <w:sz w:val="22"/>
                <w:szCs w:val="22"/>
                <w:lang w:val="da-DK" w:eastAsia="da-DK"/>
              </w:rPr>
              <w:tab/>
            </w:r>
            <w:r w:rsidR="00367EC9" w:rsidRPr="009916F6">
              <w:rPr>
                <w:rStyle w:val="Hyperlink"/>
                <w:lang w:bidi="ar-QA"/>
              </w:rPr>
              <w:t>Transmission facilities linking the subsystems of Norway – Western Denmark</w:t>
            </w:r>
            <w:r w:rsidR="00367EC9">
              <w:rPr>
                <w:webHidden/>
              </w:rPr>
              <w:tab/>
            </w:r>
            <w:r w:rsidR="00367EC9">
              <w:rPr>
                <w:webHidden/>
              </w:rPr>
              <w:fldChar w:fldCharType="begin"/>
            </w:r>
            <w:r w:rsidR="00367EC9">
              <w:rPr>
                <w:webHidden/>
              </w:rPr>
              <w:instrText xml:space="preserve"> PAGEREF _Toc113005696 \h </w:instrText>
            </w:r>
            <w:r w:rsidR="00367EC9">
              <w:rPr>
                <w:webHidden/>
              </w:rPr>
            </w:r>
            <w:r w:rsidR="00367EC9">
              <w:rPr>
                <w:webHidden/>
              </w:rPr>
              <w:fldChar w:fldCharType="separate"/>
            </w:r>
            <w:r w:rsidR="00367EC9">
              <w:rPr>
                <w:webHidden/>
              </w:rPr>
              <w:t>3</w:t>
            </w:r>
            <w:r w:rsidR="00367EC9">
              <w:rPr>
                <w:webHidden/>
              </w:rPr>
              <w:fldChar w:fldCharType="end"/>
            </w:r>
          </w:hyperlink>
        </w:p>
        <w:p w14:paraId="5684A0FD" w14:textId="15537D42" w:rsidR="00367EC9" w:rsidRDefault="00000000">
          <w:pPr>
            <w:pStyle w:val="Indholdsfortegnelse1"/>
            <w:rPr>
              <w:rFonts w:asciiTheme="minorHAnsi" w:eastAsiaTheme="minorEastAsia" w:hAnsiTheme="minorHAnsi" w:cstheme="minorBidi"/>
              <w:b w:val="0"/>
              <w:bCs w:val="0"/>
              <w:iCs w:val="0"/>
              <w:color w:val="auto"/>
              <w:sz w:val="22"/>
              <w:szCs w:val="22"/>
              <w:lang w:val="da-DK" w:eastAsia="da-DK"/>
            </w:rPr>
          </w:pPr>
          <w:hyperlink w:anchor="_Toc113005697" w:history="1">
            <w:r w:rsidR="00367EC9" w:rsidRPr="009916F6">
              <w:rPr>
                <w:rStyle w:val="Hyperlink"/>
                <w:lang w:bidi="ar-QA"/>
              </w:rPr>
              <w:t>3</w:t>
            </w:r>
            <w:r w:rsidR="00367EC9">
              <w:rPr>
                <w:rFonts w:asciiTheme="minorHAnsi" w:eastAsiaTheme="minorEastAsia" w:hAnsiTheme="minorHAnsi" w:cstheme="minorBidi"/>
                <w:b w:val="0"/>
                <w:bCs w:val="0"/>
                <w:iCs w:val="0"/>
                <w:color w:val="auto"/>
                <w:sz w:val="22"/>
                <w:szCs w:val="22"/>
                <w:lang w:val="da-DK" w:eastAsia="da-DK"/>
              </w:rPr>
              <w:tab/>
            </w:r>
            <w:r w:rsidR="00367EC9" w:rsidRPr="009916F6">
              <w:rPr>
                <w:rStyle w:val="Hyperlink"/>
                <w:lang w:bidi="ar-QA"/>
              </w:rPr>
              <w:t>Operation of facilities under 2</w:t>
            </w:r>
            <w:r w:rsidR="00367EC9">
              <w:rPr>
                <w:webHidden/>
              </w:rPr>
              <w:tab/>
            </w:r>
            <w:r w:rsidR="00367EC9">
              <w:rPr>
                <w:webHidden/>
              </w:rPr>
              <w:fldChar w:fldCharType="begin"/>
            </w:r>
            <w:r w:rsidR="00367EC9">
              <w:rPr>
                <w:webHidden/>
              </w:rPr>
              <w:instrText xml:space="preserve"> PAGEREF _Toc113005697 \h </w:instrText>
            </w:r>
            <w:r w:rsidR="00367EC9">
              <w:rPr>
                <w:webHidden/>
              </w:rPr>
            </w:r>
            <w:r w:rsidR="00367EC9">
              <w:rPr>
                <w:webHidden/>
              </w:rPr>
              <w:fldChar w:fldCharType="separate"/>
            </w:r>
            <w:r w:rsidR="00367EC9">
              <w:rPr>
                <w:webHidden/>
              </w:rPr>
              <w:t>3</w:t>
            </w:r>
            <w:r w:rsidR="00367EC9">
              <w:rPr>
                <w:webHidden/>
              </w:rPr>
              <w:fldChar w:fldCharType="end"/>
            </w:r>
          </w:hyperlink>
        </w:p>
        <w:p w14:paraId="3920E6F9" w14:textId="6D655AB1"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698" w:history="1">
            <w:r w:rsidR="00367EC9" w:rsidRPr="009916F6">
              <w:rPr>
                <w:rStyle w:val="Hyperlink"/>
                <w:iCs/>
                <w:lang w:bidi="ar-QA"/>
              </w:rPr>
              <w:t>3.1</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iCs/>
                <w:lang w:bidi="ar-QA"/>
              </w:rPr>
              <w:t>General</w:t>
            </w:r>
            <w:r w:rsidR="00367EC9">
              <w:rPr>
                <w:webHidden/>
              </w:rPr>
              <w:tab/>
            </w:r>
            <w:r w:rsidR="00367EC9">
              <w:rPr>
                <w:webHidden/>
              </w:rPr>
              <w:fldChar w:fldCharType="begin"/>
            </w:r>
            <w:r w:rsidR="00367EC9">
              <w:rPr>
                <w:webHidden/>
              </w:rPr>
              <w:instrText xml:space="preserve"> PAGEREF _Toc113005698 \h </w:instrText>
            </w:r>
            <w:r w:rsidR="00367EC9">
              <w:rPr>
                <w:webHidden/>
              </w:rPr>
            </w:r>
            <w:r w:rsidR="00367EC9">
              <w:rPr>
                <w:webHidden/>
              </w:rPr>
              <w:fldChar w:fldCharType="separate"/>
            </w:r>
            <w:r w:rsidR="00367EC9">
              <w:rPr>
                <w:webHidden/>
              </w:rPr>
              <w:t>3</w:t>
            </w:r>
            <w:r w:rsidR="00367EC9">
              <w:rPr>
                <w:webHidden/>
              </w:rPr>
              <w:fldChar w:fldCharType="end"/>
            </w:r>
          </w:hyperlink>
        </w:p>
        <w:p w14:paraId="3E49A8DC" w14:textId="200AAAF6"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699" w:history="1">
            <w:r w:rsidR="00367EC9" w:rsidRPr="009916F6">
              <w:rPr>
                <w:rStyle w:val="Hyperlink"/>
                <w:iCs/>
                <w:lang w:bidi="ar-QA"/>
              </w:rPr>
              <w:t>3.2</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iCs/>
                <w:lang w:bidi="ar-QA"/>
              </w:rPr>
              <w:t>Responsibility for operation</w:t>
            </w:r>
            <w:r w:rsidR="00367EC9">
              <w:rPr>
                <w:webHidden/>
              </w:rPr>
              <w:tab/>
            </w:r>
            <w:r w:rsidR="00367EC9">
              <w:rPr>
                <w:webHidden/>
              </w:rPr>
              <w:fldChar w:fldCharType="begin"/>
            </w:r>
            <w:r w:rsidR="00367EC9">
              <w:rPr>
                <w:webHidden/>
              </w:rPr>
              <w:instrText xml:space="preserve"> PAGEREF _Toc113005699 \h </w:instrText>
            </w:r>
            <w:r w:rsidR="00367EC9">
              <w:rPr>
                <w:webHidden/>
              </w:rPr>
            </w:r>
            <w:r w:rsidR="00367EC9">
              <w:rPr>
                <w:webHidden/>
              </w:rPr>
              <w:fldChar w:fldCharType="separate"/>
            </w:r>
            <w:r w:rsidR="00367EC9">
              <w:rPr>
                <w:webHidden/>
              </w:rPr>
              <w:t>3</w:t>
            </w:r>
            <w:r w:rsidR="00367EC9">
              <w:rPr>
                <w:webHidden/>
              </w:rPr>
              <w:fldChar w:fldCharType="end"/>
            </w:r>
          </w:hyperlink>
        </w:p>
        <w:p w14:paraId="2ADFE7ED" w14:textId="6887EA7A"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0" w:history="1">
            <w:r w:rsidR="00367EC9" w:rsidRPr="009916F6">
              <w:rPr>
                <w:rStyle w:val="Hyperlink"/>
                <w:lang w:bidi="ar-QA"/>
              </w:rPr>
              <w:t>3.3</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Switching responsible operator</w:t>
            </w:r>
            <w:r w:rsidR="00367EC9">
              <w:rPr>
                <w:webHidden/>
              </w:rPr>
              <w:tab/>
            </w:r>
            <w:r w:rsidR="00367EC9">
              <w:rPr>
                <w:webHidden/>
              </w:rPr>
              <w:fldChar w:fldCharType="begin"/>
            </w:r>
            <w:r w:rsidR="00367EC9">
              <w:rPr>
                <w:webHidden/>
              </w:rPr>
              <w:instrText xml:space="preserve"> PAGEREF _Toc113005700 \h </w:instrText>
            </w:r>
            <w:r w:rsidR="00367EC9">
              <w:rPr>
                <w:webHidden/>
              </w:rPr>
            </w:r>
            <w:r w:rsidR="00367EC9">
              <w:rPr>
                <w:webHidden/>
              </w:rPr>
              <w:fldChar w:fldCharType="separate"/>
            </w:r>
            <w:r w:rsidR="00367EC9">
              <w:rPr>
                <w:webHidden/>
              </w:rPr>
              <w:t>4</w:t>
            </w:r>
            <w:r w:rsidR="00367EC9">
              <w:rPr>
                <w:webHidden/>
              </w:rPr>
              <w:fldChar w:fldCharType="end"/>
            </w:r>
          </w:hyperlink>
        </w:p>
        <w:p w14:paraId="6AD12711" w14:textId="57A33FB8"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01" w:history="1">
            <w:r w:rsidR="00367EC9" w:rsidRPr="009916F6">
              <w:rPr>
                <w:rStyle w:val="Hyperlink"/>
                <w:noProof/>
              </w:rPr>
              <w:t>3.3.1</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Switching</w:t>
            </w:r>
            <w:r w:rsidR="00367EC9">
              <w:rPr>
                <w:noProof/>
                <w:webHidden/>
              </w:rPr>
              <w:tab/>
            </w:r>
            <w:r w:rsidR="00367EC9">
              <w:rPr>
                <w:noProof/>
                <w:webHidden/>
              </w:rPr>
              <w:fldChar w:fldCharType="begin"/>
            </w:r>
            <w:r w:rsidR="00367EC9">
              <w:rPr>
                <w:noProof/>
                <w:webHidden/>
              </w:rPr>
              <w:instrText xml:space="preserve"> PAGEREF _Toc113005701 \h </w:instrText>
            </w:r>
            <w:r w:rsidR="00367EC9">
              <w:rPr>
                <w:noProof/>
                <w:webHidden/>
              </w:rPr>
            </w:r>
            <w:r w:rsidR="00367EC9">
              <w:rPr>
                <w:noProof/>
                <w:webHidden/>
              </w:rPr>
              <w:fldChar w:fldCharType="separate"/>
            </w:r>
            <w:r w:rsidR="00367EC9">
              <w:rPr>
                <w:noProof/>
                <w:webHidden/>
              </w:rPr>
              <w:t>4</w:t>
            </w:r>
            <w:r w:rsidR="00367EC9">
              <w:rPr>
                <w:noProof/>
                <w:webHidden/>
              </w:rPr>
              <w:fldChar w:fldCharType="end"/>
            </w:r>
          </w:hyperlink>
        </w:p>
        <w:p w14:paraId="74D4AB50" w14:textId="67B9D9C2"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02" w:history="1">
            <w:r w:rsidR="00367EC9" w:rsidRPr="009916F6">
              <w:rPr>
                <w:rStyle w:val="Hyperlink"/>
                <w:noProof/>
              </w:rPr>
              <w:t>3.3.2</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Switching responsible operator</w:t>
            </w:r>
            <w:r w:rsidR="00367EC9">
              <w:rPr>
                <w:noProof/>
                <w:webHidden/>
              </w:rPr>
              <w:tab/>
            </w:r>
            <w:r w:rsidR="00367EC9">
              <w:rPr>
                <w:noProof/>
                <w:webHidden/>
              </w:rPr>
              <w:fldChar w:fldCharType="begin"/>
            </w:r>
            <w:r w:rsidR="00367EC9">
              <w:rPr>
                <w:noProof/>
                <w:webHidden/>
              </w:rPr>
              <w:instrText xml:space="preserve"> PAGEREF _Toc113005702 \h </w:instrText>
            </w:r>
            <w:r w:rsidR="00367EC9">
              <w:rPr>
                <w:noProof/>
                <w:webHidden/>
              </w:rPr>
            </w:r>
            <w:r w:rsidR="00367EC9">
              <w:rPr>
                <w:noProof/>
                <w:webHidden/>
              </w:rPr>
              <w:fldChar w:fldCharType="separate"/>
            </w:r>
            <w:r w:rsidR="00367EC9">
              <w:rPr>
                <w:noProof/>
                <w:webHidden/>
              </w:rPr>
              <w:t>4</w:t>
            </w:r>
            <w:r w:rsidR="00367EC9">
              <w:rPr>
                <w:noProof/>
                <w:webHidden/>
              </w:rPr>
              <w:fldChar w:fldCharType="end"/>
            </w:r>
          </w:hyperlink>
        </w:p>
        <w:p w14:paraId="1DBD0AE2" w14:textId="71116D47"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3" w:history="1">
            <w:r w:rsidR="00367EC9" w:rsidRPr="009916F6">
              <w:rPr>
                <w:rStyle w:val="Hyperlink"/>
                <w:lang w:bidi="ar-QA"/>
              </w:rPr>
              <w:t>3.4</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Operation monitoring and control</w:t>
            </w:r>
            <w:r w:rsidR="00367EC9">
              <w:rPr>
                <w:webHidden/>
              </w:rPr>
              <w:tab/>
            </w:r>
            <w:r w:rsidR="00367EC9">
              <w:rPr>
                <w:webHidden/>
              </w:rPr>
              <w:fldChar w:fldCharType="begin"/>
            </w:r>
            <w:r w:rsidR="00367EC9">
              <w:rPr>
                <w:webHidden/>
              </w:rPr>
              <w:instrText xml:space="preserve"> PAGEREF _Toc113005703 \h </w:instrText>
            </w:r>
            <w:r w:rsidR="00367EC9">
              <w:rPr>
                <w:webHidden/>
              </w:rPr>
            </w:r>
            <w:r w:rsidR="00367EC9">
              <w:rPr>
                <w:webHidden/>
              </w:rPr>
              <w:fldChar w:fldCharType="separate"/>
            </w:r>
            <w:r w:rsidR="00367EC9">
              <w:rPr>
                <w:webHidden/>
              </w:rPr>
              <w:t>4</w:t>
            </w:r>
            <w:r w:rsidR="00367EC9">
              <w:rPr>
                <w:webHidden/>
              </w:rPr>
              <w:fldChar w:fldCharType="end"/>
            </w:r>
          </w:hyperlink>
        </w:p>
        <w:p w14:paraId="78574C73" w14:textId="79FFDB05"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4" w:history="1">
            <w:r w:rsidR="00367EC9" w:rsidRPr="009916F6">
              <w:rPr>
                <w:rStyle w:val="Hyperlink"/>
                <w:lang w:bidi="ar-QA"/>
              </w:rPr>
              <w:t>3.5</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Outages</w:t>
            </w:r>
            <w:r w:rsidR="00367EC9">
              <w:rPr>
                <w:webHidden/>
              </w:rPr>
              <w:tab/>
            </w:r>
            <w:r w:rsidR="00367EC9">
              <w:rPr>
                <w:webHidden/>
              </w:rPr>
              <w:fldChar w:fldCharType="begin"/>
            </w:r>
            <w:r w:rsidR="00367EC9">
              <w:rPr>
                <w:webHidden/>
              </w:rPr>
              <w:instrText xml:space="preserve"> PAGEREF _Toc113005704 \h </w:instrText>
            </w:r>
            <w:r w:rsidR="00367EC9">
              <w:rPr>
                <w:webHidden/>
              </w:rPr>
            </w:r>
            <w:r w:rsidR="00367EC9">
              <w:rPr>
                <w:webHidden/>
              </w:rPr>
              <w:fldChar w:fldCharType="separate"/>
            </w:r>
            <w:r w:rsidR="00367EC9">
              <w:rPr>
                <w:webHidden/>
              </w:rPr>
              <w:t>4</w:t>
            </w:r>
            <w:r w:rsidR="00367EC9">
              <w:rPr>
                <w:webHidden/>
              </w:rPr>
              <w:fldChar w:fldCharType="end"/>
            </w:r>
          </w:hyperlink>
        </w:p>
        <w:p w14:paraId="481CDB80" w14:textId="7FAA911B"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5" w:history="1">
            <w:r w:rsidR="00367EC9" w:rsidRPr="009916F6">
              <w:rPr>
                <w:rStyle w:val="Hyperlink"/>
                <w:lang w:bidi="ar-QA"/>
              </w:rPr>
              <w:t>3.6</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Disturbance management</w:t>
            </w:r>
            <w:r w:rsidR="00367EC9">
              <w:rPr>
                <w:webHidden/>
              </w:rPr>
              <w:tab/>
            </w:r>
            <w:r w:rsidR="00367EC9">
              <w:rPr>
                <w:webHidden/>
              </w:rPr>
              <w:fldChar w:fldCharType="begin"/>
            </w:r>
            <w:r w:rsidR="00367EC9">
              <w:rPr>
                <w:webHidden/>
              </w:rPr>
              <w:instrText xml:space="preserve"> PAGEREF _Toc113005705 \h </w:instrText>
            </w:r>
            <w:r w:rsidR="00367EC9">
              <w:rPr>
                <w:webHidden/>
              </w:rPr>
            </w:r>
            <w:r w:rsidR="00367EC9">
              <w:rPr>
                <w:webHidden/>
              </w:rPr>
              <w:fldChar w:fldCharType="separate"/>
            </w:r>
            <w:r w:rsidR="00367EC9">
              <w:rPr>
                <w:webHidden/>
              </w:rPr>
              <w:t>5</w:t>
            </w:r>
            <w:r w:rsidR="00367EC9">
              <w:rPr>
                <w:webHidden/>
              </w:rPr>
              <w:fldChar w:fldCharType="end"/>
            </w:r>
          </w:hyperlink>
        </w:p>
        <w:p w14:paraId="161DA3EE" w14:textId="7075C2AF" w:rsidR="00367EC9" w:rsidRDefault="00000000">
          <w:pPr>
            <w:pStyle w:val="Indholdsfortegnelse1"/>
            <w:rPr>
              <w:rFonts w:asciiTheme="minorHAnsi" w:eastAsiaTheme="minorEastAsia" w:hAnsiTheme="minorHAnsi" w:cstheme="minorBidi"/>
              <w:b w:val="0"/>
              <w:bCs w:val="0"/>
              <w:iCs w:val="0"/>
              <w:color w:val="auto"/>
              <w:sz w:val="22"/>
              <w:szCs w:val="22"/>
              <w:lang w:val="da-DK" w:eastAsia="da-DK"/>
            </w:rPr>
          </w:pPr>
          <w:hyperlink w:anchor="_Toc113005706" w:history="1">
            <w:r w:rsidR="00367EC9" w:rsidRPr="009916F6">
              <w:rPr>
                <w:rStyle w:val="Hyperlink"/>
                <w:lang w:bidi="ar-QA"/>
              </w:rPr>
              <w:t>4</w:t>
            </w:r>
            <w:r w:rsidR="00367EC9">
              <w:rPr>
                <w:rFonts w:asciiTheme="minorHAnsi" w:eastAsiaTheme="minorEastAsia" w:hAnsiTheme="minorHAnsi" w:cstheme="minorBidi"/>
                <w:b w:val="0"/>
                <w:bCs w:val="0"/>
                <w:iCs w:val="0"/>
                <w:color w:val="auto"/>
                <w:sz w:val="22"/>
                <w:szCs w:val="22"/>
                <w:lang w:val="da-DK" w:eastAsia="da-DK"/>
              </w:rPr>
              <w:tab/>
            </w:r>
            <w:r w:rsidR="00367EC9" w:rsidRPr="009916F6">
              <w:rPr>
                <w:rStyle w:val="Hyperlink"/>
                <w:lang w:bidi="ar-QA"/>
              </w:rPr>
              <w:t>System operation for facilities under 2</w:t>
            </w:r>
            <w:r w:rsidR="00367EC9">
              <w:rPr>
                <w:webHidden/>
              </w:rPr>
              <w:tab/>
            </w:r>
            <w:r w:rsidR="00367EC9">
              <w:rPr>
                <w:webHidden/>
              </w:rPr>
              <w:fldChar w:fldCharType="begin"/>
            </w:r>
            <w:r w:rsidR="00367EC9">
              <w:rPr>
                <w:webHidden/>
              </w:rPr>
              <w:instrText xml:space="preserve"> PAGEREF _Toc113005706 \h </w:instrText>
            </w:r>
            <w:r w:rsidR="00367EC9">
              <w:rPr>
                <w:webHidden/>
              </w:rPr>
            </w:r>
            <w:r w:rsidR="00367EC9">
              <w:rPr>
                <w:webHidden/>
              </w:rPr>
              <w:fldChar w:fldCharType="separate"/>
            </w:r>
            <w:r w:rsidR="00367EC9">
              <w:rPr>
                <w:webHidden/>
              </w:rPr>
              <w:t>5</w:t>
            </w:r>
            <w:r w:rsidR="00367EC9">
              <w:rPr>
                <w:webHidden/>
              </w:rPr>
              <w:fldChar w:fldCharType="end"/>
            </w:r>
          </w:hyperlink>
        </w:p>
        <w:p w14:paraId="0A26A08E" w14:textId="4467588F"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7" w:history="1">
            <w:r w:rsidR="00367EC9" w:rsidRPr="009916F6">
              <w:rPr>
                <w:rStyle w:val="Hyperlink"/>
                <w:lang w:bidi="ar-QA"/>
              </w:rPr>
              <w:t>4.1</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Total Transmission Capacity</w:t>
            </w:r>
            <w:r w:rsidR="00367EC9">
              <w:rPr>
                <w:webHidden/>
              </w:rPr>
              <w:tab/>
            </w:r>
            <w:r w:rsidR="00367EC9">
              <w:rPr>
                <w:webHidden/>
              </w:rPr>
              <w:fldChar w:fldCharType="begin"/>
            </w:r>
            <w:r w:rsidR="00367EC9">
              <w:rPr>
                <w:webHidden/>
              </w:rPr>
              <w:instrText xml:space="preserve"> PAGEREF _Toc113005707 \h </w:instrText>
            </w:r>
            <w:r w:rsidR="00367EC9">
              <w:rPr>
                <w:webHidden/>
              </w:rPr>
            </w:r>
            <w:r w:rsidR="00367EC9">
              <w:rPr>
                <w:webHidden/>
              </w:rPr>
              <w:fldChar w:fldCharType="separate"/>
            </w:r>
            <w:r w:rsidR="00367EC9">
              <w:rPr>
                <w:webHidden/>
              </w:rPr>
              <w:t>5</w:t>
            </w:r>
            <w:r w:rsidR="00367EC9">
              <w:rPr>
                <w:webHidden/>
              </w:rPr>
              <w:fldChar w:fldCharType="end"/>
            </w:r>
          </w:hyperlink>
        </w:p>
        <w:p w14:paraId="06EA18D1" w14:textId="0133022E"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8" w:history="1">
            <w:r w:rsidR="00367EC9" w:rsidRPr="009916F6">
              <w:rPr>
                <w:rStyle w:val="Hyperlink"/>
                <w:lang w:bidi="ar-QA"/>
              </w:rPr>
              <w:t>4.2</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Routines for determining the transmission capacity</w:t>
            </w:r>
            <w:r w:rsidR="00367EC9">
              <w:rPr>
                <w:webHidden/>
              </w:rPr>
              <w:tab/>
            </w:r>
            <w:r w:rsidR="00367EC9">
              <w:rPr>
                <w:webHidden/>
              </w:rPr>
              <w:fldChar w:fldCharType="begin"/>
            </w:r>
            <w:r w:rsidR="00367EC9">
              <w:rPr>
                <w:webHidden/>
              </w:rPr>
              <w:instrText xml:space="preserve"> PAGEREF _Toc113005708 \h </w:instrText>
            </w:r>
            <w:r w:rsidR="00367EC9">
              <w:rPr>
                <w:webHidden/>
              </w:rPr>
            </w:r>
            <w:r w:rsidR="00367EC9">
              <w:rPr>
                <w:webHidden/>
              </w:rPr>
              <w:fldChar w:fldCharType="separate"/>
            </w:r>
            <w:r w:rsidR="00367EC9">
              <w:rPr>
                <w:webHidden/>
              </w:rPr>
              <w:t>5</w:t>
            </w:r>
            <w:r w:rsidR="00367EC9">
              <w:rPr>
                <w:webHidden/>
              </w:rPr>
              <w:fldChar w:fldCharType="end"/>
            </w:r>
          </w:hyperlink>
        </w:p>
        <w:p w14:paraId="5DC6CA5D" w14:textId="70253353"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09" w:history="1">
            <w:r w:rsidR="00367EC9" w:rsidRPr="009916F6">
              <w:rPr>
                <w:rStyle w:val="Hyperlink"/>
                <w:lang w:bidi="ar-QA"/>
              </w:rPr>
              <w:t>4.3</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Trading capacity (Net Transmission Capacity - NTC)</w:t>
            </w:r>
            <w:r w:rsidR="00367EC9">
              <w:rPr>
                <w:webHidden/>
              </w:rPr>
              <w:tab/>
            </w:r>
            <w:r w:rsidR="00367EC9">
              <w:rPr>
                <w:webHidden/>
              </w:rPr>
              <w:fldChar w:fldCharType="begin"/>
            </w:r>
            <w:r w:rsidR="00367EC9">
              <w:rPr>
                <w:webHidden/>
              </w:rPr>
              <w:instrText xml:space="preserve"> PAGEREF _Toc113005709 \h </w:instrText>
            </w:r>
            <w:r w:rsidR="00367EC9">
              <w:rPr>
                <w:webHidden/>
              </w:rPr>
            </w:r>
            <w:r w:rsidR="00367EC9">
              <w:rPr>
                <w:webHidden/>
              </w:rPr>
              <w:fldChar w:fldCharType="separate"/>
            </w:r>
            <w:r w:rsidR="00367EC9">
              <w:rPr>
                <w:webHidden/>
              </w:rPr>
              <w:t>5</w:t>
            </w:r>
            <w:r w:rsidR="00367EC9">
              <w:rPr>
                <w:webHidden/>
              </w:rPr>
              <w:fldChar w:fldCharType="end"/>
            </w:r>
          </w:hyperlink>
        </w:p>
        <w:p w14:paraId="2E4E33B8" w14:textId="366230C3"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10" w:history="1">
            <w:r w:rsidR="00367EC9" w:rsidRPr="009916F6">
              <w:rPr>
                <w:rStyle w:val="Hyperlink"/>
                <w:lang w:bidi="ar-QA"/>
              </w:rPr>
              <w:t>4.4</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Operation monitoring and control in respect of system operation</w:t>
            </w:r>
            <w:r w:rsidR="00367EC9">
              <w:rPr>
                <w:webHidden/>
              </w:rPr>
              <w:tab/>
            </w:r>
            <w:r w:rsidR="00367EC9">
              <w:rPr>
                <w:webHidden/>
              </w:rPr>
              <w:fldChar w:fldCharType="begin"/>
            </w:r>
            <w:r w:rsidR="00367EC9">
              <w:rPr>
                <w:webHidden/>
              </w:rPr>
              <w:instrText xml:space="preserve"> PAGEREF _Toc113005710 \h </w:instrText>
            </w:r>
            <w:r w:rsidR="00367EC9">
              <w:rPr>
                <w:webHidden/>
              </w:rPr>
            </w:r>
            <w:r w:rsidR="00367EC9">
              <w:rPr>
                <w:webHidden/>
              </w:rPr>
              <w:fldChar w:fldCharType="separate"/>
            </w:r>
            <w:r w:rsidR="00367EC9">
              <w:rPr>
                <w:webHidden/>
              </w:rPr>
              <w:t>6</w:t>
            </w:r>
            <w:r w:rsidR="00367EC9">
              <w:rPr>
                <w:webHidden/>
              </w:rPr>
              <w:fldChar w:fldCharType="end"/>
            </w:r>
          </w:hyperlink>
        </w:p>
        <w:p w14:paraId="0922DCD5" w14:textId="6F0D4633"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11" w:history="1">
            <w:r w:rsidR="00367EC9" w:rsidRPr="009916F6">
              <w:rPr>
                <w:rStyle w:val="Hyperlink"/>
                <w:noProof/>
              </w:rPr>
              <w:t>4.4.1</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The power flow and distribution between the DC links</w:t>
            </w:r>
            <w:r w:rsidR="00367EC9">
              <w:rPr>
                <w:noProof/>
                <w:webHidden/>
              </w:rPr>
              <w:tab/>
            </w:r>
            <w:r w:rsidR="00367EC9">
              <w:rPr>
                <w:noProof/>
                <w:webHidden/>
              </w:rPr>
              <w:fldChar w:fldCharType="begin"/>
            </w:r>
            <w:r w:rsidR="00367EC9">
              <w:rPr>
                <w:noProof/>
                <w:webHidden/>
              </w:rPr>
              <w:instrText xml:space="preserve"> PAGEREF _Toc113005711 \h </w:instrText>
            </w:r>
            <w:r w:rsidR="00367EC9">
              <w:rPr>
                <w:noProof/>
                <w:webHidden/>
              </w:rPr>
            </w:r>
            <w:r w:rsidR="00367EC9">
              <w:rPr>
                <w:noProof/>
                <w:webHidden/>
              </w:rPr>
              <w:fldChar w:fldCharType="separate"/>
            </w:r>
            <w:r w:rsidR="00367EC9">
              <w:rPr>
                <w:noProof/>
                <w:webHidden/>
              </w:rPr>
              <w:t>6</w:t>
            </w:r>
            <w:r w:rsidR="00367EC9">
              <w:rPr>
                <w:noProof/>
                <w:webHidden/>
              </w:rPr>
              <w:fldChar w:fldCharType="end"/>
            </w:r>
          </w:hyperlink>
        </w:p>
        <w:p w14:paraId="197E99B1" w14:textId="14EBDA11"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12" w:history="1">
            <w:r w:rsidR="00367EC9" w:rsidRPr="009916F6">
              <w:rPr>
                <w:rStyle w:val="Hyperlink"/>
                <w:noProof/>
              </w:rPr>
              <w:t>4.4.2</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Control of the link</w:t>
            </w:r>
            <w:r w:rsidR="00367EC9">
              <w:rPr>
                <w:noProof/>
                <w:webHidden/>
              </w:rPr>
              <w:tab/>
            </w:r>
            <w:r w:rsidR="00367EC9">
              <w:rPr>
                <w:noProof/>
                <w:webHidden/>
              </w:rPr>
              <w:fldChar w:fldCharType="begin"/>
            </w:r>
            <w:r w:rsidR="00367EC9">
              <w:rPr>
                <w:noProof/>
                <w:webHidden/>
              </w:rPr>
              <w:instrText xml:space="preserve"> PAGEREF _Toc113005712 \h </w:instrText>
            </w:r>
            <w:r w:rsidR="00367EC9">
              <w:rPr>
                <w:noProof/>
                <w:webHidden/>
              </w:rPr>
            </w:r>
            <w:r w:rsidR="00367EC9">
              <w:rPr>
                <w:noProof/>
                <w:webHidden/>
              </w:rPr>
              <w:fldChar w:fldCharType="separate"/>
            </w:r>
            <w:r w:rsidR="00367EC9">
              <w:rPr>
                <w:noProof/>
                <w:webHidden/>
              </w:rPr>
              <w:t>6</w:t>
            </w:r>
            <w:r w:rsidR="00367EC9">
              <w:rPr>
                <w:noProof/>
                <w:webHidden/>
              </w:rPr>
              <w:fldChar w:fldCharType="end"/>
            </w:r>
          </w:hyperlink>
        </w:p>
        <w:p w14:paraId="28DAEBA0" w14:textId="3729614B"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13" w:history="1">
            <w:r w:rsidR="00367EC9" w:rsidRPr="009916F6">
              <w:rPr>
                <w:rStyle w:val="Hyperlink"/>
                <w:lang w:bidi="ar-QA"/>
              </w:rPr>
              <w:t>4.5</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Outage planning</w:t>
            </w:r>
            <w:r w:rsidR="00367EC9">
              <w:rPr>
                <w:webHidden/>
              </w:rPr>
              <w:tab/>
            </w:r>
            <w:r w:rsidR="00367EC9">
              <w:rPr>
                <w:webHidden/>
              </w:rPr>
              <w:fldChar w:fldCharType="begin"/>
            </w:r>
            <w:r w:rsidR="00367EC9">
              <w:rPr>
                <w:webHidden/>
              </w:rPr>
              <w:instrText xml:space="preserve"> PAGEREF _Toc113005713 \h </w:instrText>
            </w:r>
            <w:r w:rsidR="00367EC9">
              <w:rPr>
                <w:webHidden/>
              </w:rPr>
            </w:r>
            <w:r w:rsidR="00367EC9">
              <w:rPr>
                <w:webHidden/>
              </w:rPr>
              <w:fldChar w:fldCharType="separate"/>
            </w:r>
            <w:r w:rsidR="00367EC9">
              <w:rPr>
                <w:webHidden/>
              </w:rPr>
              <w:t>6</w:t>
            </w:r>
            <w:r w:rsidR="00367EC9">
              <w:rPr>
                <w:webHidden/>
              </w:rPr>
              <w:fldChar w:fldCharType="end"/>
            </w:r>
          </w:hyperlink>
        </w:p>
        <w:p w14:paraId="718E282C" w14:textId="230F81E2"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14" w:history="1">
            <w:r w:rsidR="00367EC9" w:rsidRPr="009916F6">
              <w:rPr>
                <w:rStyle w:val="Hyperlink"/>
                <w:lang w:bidi="ar-QA"/>
              </w:rPr>
              <w:t>4.6</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bidi="ar-QA"/>
              </w:rPr>
              <w:t>Disturbance management</w:t>
            </w:r>
            <w:r w:rsidR="00367EC9">
              <w:rPr>
                <w:webHidden/>
              </w:rPr>
              <w:tab/>
            </w:r>
            <w:r w:rsidR="00367EC9">
              <w:rPr>
                <w:webHidden/>
              </w:rPr>
              <w:fldChar w:fldCharType="begin"/>
            </w:r>
            <w:r w:rsidR="00367EC9">
              <w:rPr>
                <w:webHidden/>
              </w:rPr>
              <w:instrText xml:space="preserve"> PAGEREF _Toc113005714 \h </w:instrText>
            </w:r>
            <w:r w:rsidR="00367EC9">
              <w:rPr>
                <w:webHidden/>
              </w:rPr>
            </w:r>
            <w:r w:rsidR="00367EC9">
              <w:rPr>
                <w:webHidden/>
              </w:rPr>
              <w:fldChar w:fldCharType="separate"/>
            </w:r>
            <w:r w:rsidR="00367EC9">
              <w:rPr>
                <w:webHidden/>
              </w:rPr>
              <w:t>7</w:t>
            </w:r>
            <w:r w:rsidR="00367EC9">
              <w:rPr>
                <w:webHidden/>
              </w:rPr>
              <w:fldChar w:fldCharType="end"/>
            </w:r>
          </w:hyperlink>
        </w:p>
        <w:p w14:paraId="75A81206" w14:textId="2EAA833D"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15" w:history="1">
            <w:r w:rsidR="00367EC9" w:rsidRPr="009916F6">
              <w:rPr>
                <w:rStyle w:val="Hyperlink"/>
                <w:noProof/>
              </w:rPr>
              <w:t>4.6.1</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General</w:t>
            </w:r>
            <w:r w:rsidR="00367EC9">
              <w:rPr>
                <w:noProof/>
                <w:webHidden/>
              </w:rPr>
              <w:tab/>
            </w:r>
            <w:r w:rsidR="00367EC9">
              <w:rPr>
                <w:noProof/>
                <w:webHidden/>
              </w:rPr>
              <w:fldChar w:fldCharType="begin"/>
            </w:r>
            <w:r w:rsidR="00367EC9">
              <w:rPr>
                <w:noProof/>
                <w:webHidden/>
              </w:rPr>
              <w:instrText xml:space="preserve"> PAGEREF _Toc113005715 \h </w:instrText>
            </w:r>
            <w:r w:rsidR="00367EC9">
              <w:rPr>
                <w:noProof/>
                <w:webHidden/>
              </w:rPr>
            </w:r>
            <w:r w:rsidR="00367EC9">
              <w:rPr>
                <w:noProof/>
                <w:webHidden/>
              </w:rPr>
              <w:fldChar w:fldCharType="separate"/>
            </w:r>
            <w:r w:rsidR="00367EC9">
              <w:rPr>
                <w:noProof/>
                <w:webHidden/>
              </w:rPr>
              <w:t>7</w:t>
            </w:r>
            <w:r w:rsidR="00367EC9">
              <w:rPr>
                <w:noProof/>
                <w:webHidden/>
              </w:rPr>
              <w:fldChar w:fldCharType="end"/>
            </w:r>
          </w:hyperlink>
        </w:p>
        <w:p w14:paraId="4BC85BB4" w14:textId="68AC89D5"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16" w:history="1">
            <w:r w:rsidR="00367EC9" w:rsidRPr="009916F6">
              <w:rPr>
                <w:rStyle w:val="Hyperlink"/>
                <w:noProof/>
              </w:rPr>
              <w:t>4.6.2</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Delta power</w:t>
            </w:r>
            <w:r w:rsidR="00367EC9">
              <w:rPr>
                <w:noProof/>
                <w:webHidden/>
              </w:rPr>
              <w:tab/>
            </w:r>
            <w:r w:rsidR="00367EC9">
              <w:rPr>
                <w:noProof/>
                <w:webHidden/>
              </w:rPr>
              <w:fldChar w:fldCharType="begin"/>
            </w:r>
            <w:r w:rsidR="00367EC9">
              <w:rPr>
                <w:noProof/>
                <w:webHidden/>
              </w:rPr>
              <w:instrText xml:space="preserve"> PAGEREF _Toc113005716 \h </w:instrText>
            </w:r>
            <w:r w:rsidR="00367EC9">
              <w:rPr>
                <w:noProof/>
                <w:webHidden/>
              </w:rPr>
            </w:r>
            <w:r w:rsidR="00367EC9">
              <w:rPr>
                <w:noProof/>
                <w:webHidden/>
              </w:rPr>
              <w:fldChar w:fldCharType="separate"/>
            </w:r>
            <w:r w:rsidR="00367EC9">
              <w:rPr>
                <w:noProof/>
                <w:webHidden/>
              </w:rPr>
              <w:t>7</w:t>
            </w:r>
            <w:r w:rsidR="00367EC9">
              <w:rPr>
                <w:noProof/>
                <w:webHidden/>
              </w:rPr>
              <w:fldChar w:fldCharType="end"/>
            </w:r>
          </w:hyperlink>
        </w:p>
        <w:p w14:paraId="6072D50A" w14:textId="35AD09E1" w:rsidR="00367EC9" w:rsidRDefault="00000000">
          <w:pPr>
            <w:pStyle w:val="Indholdsfortegnelse3"/>
            <w:rPr>
              <w:rFonts w:asciiTheme="minorHAnsi" w:eastAsiaTheme="minorEastAsia" w:hAnsiTheme="minorHAnsi"/>
              <w:noProof/>
              <w:color w:val="auto"/>
              <w:sz w:val="22"/>
              <w:szCs w:val="22"/>
              <w:lang w:val="da-DK" w:eastAsia="da-DK" w:bidi="ar-SA"/>
            </w:rPr>
          </w:pPr>
          <w:hyperlink w:anchor="_Toc113005717" w:history="1">
            <w:r w:rsidR="00367EC9" w:rsidRPr="009916F6">
              <w:rPr>
                <w:rStyle w:val="Hyperlink"/>
                <w:noProof/>
              </w:rPr>
              <w:t>4.6.3</w:t>
            </w:r>
            <w:r w:rsidR="00367EC9">
              <w:rPr>
                <w:rFonts w:asciiTheme="minorHAnsi" w:eastAsiaTheme="minorEastAsia" w:hAnsiTheme="minorHAnsi"/>
                <w:noProof/>
                <w:color w:val="auto"/>
                <w:sz w:val="22"/>
                <w:szCs w:val="22"/>
                <w:lang w:val="da-DK" w:eastAsia="da-DK" w:bidi="ar-SA"/>
              </w:rPr>
              <w:tab/>
            </w:r>
            <w:r w:rsidR="00367EC9" w:rsidRPr="009916F6">
              <w:rPr>
                <w:rStyle w:val="Hyperlink"/>
                <w:noProof/>
              </w:rPr>
              <w:t>System protection</w:t>
            </w:r>
            <w:r w:rsidR="00367EC9">
              <w:rPr>
                <w:noProof/>
                <w:webHidden/>
              </w:rPr>
              <w:tab/>
            </w:r>
            <w:r w:rsidR="00367EC9">
              <w:rPr>
                <w:noProof/>
                <w:webHidden/>
              </w:rPr>
              <w:fldChar w:fldCharType="begin"/>
            </w:r>
            <w:r w:rsidR="00367EC9">
              <w:rPr>
                <w:noProof/>
                <w:webHidden/>
              </w:rPr>
              <w:instrText xml:space="preserve"> PAGEREF _Toc113005717 \h </w:instrText>
            </w:r>
            <w:r w:rsidR="00367EC9">
              <w:rPr>
                <w:noProof/>
                <w:webHidden/>
              </w:rPr>
            </w:r>
            <w:r w:rsidR="00367EC9">
              <w:rPr>
                <w:noProof/>
                <w:webHidden/>
              </w:rPr>
              <w:fldChar w:fldCharType="separate"/>
            </w:r>
            <w:r w:rsidR="00367EC9">
              <w:rPr>
                <w:noProof/>
                <w:webHidden/>
              </w:rPr>
              <w:t>7</w:t>
            </w:r>
            <w:r w:rsidR="00367EC9">
              <w:rPr>
                <w:noProof/>
                <w:webHidden/>
              </w:rPr>
              <w:fldChar w:fldCharType="end"/>
            </w:r>
          </w:hyperlink>
        </w:p>
        <w:p w14:paraId="3063D9DE" w14:textId="41C7E06F" w:rsidR="00367EC9" w:rsidRDefault="00000000">
          <w:pPr>
            <w:pStyle w:val="Indholdsfortegnelse1"/>
            <w:rPr>
              <w:rFonts w:asciiTheme="minorHAnsi" w:eastAsiaTheme="minorEastAsia" w:hAnsiTheme="minorHAnsi" w:cstheme="minorBidi"/>
              <w:b w:val="0"/>
              <w:bCs w:val="0"/>
              <w:iCs w:val="0"/>
              <w:color w:val="auto"/>
              <w:sz w:val="22"/>
              <w:szCs w:val="22"/>
              <w:lang w:val="da-DK" w:eastAsia="da-DK"/>
            </w:rPr>
          </w:pPr>
          <w:hyperlink w:anchor="_Toc113005718" w:history="1">
            <w:r w:rsidR="00367EC9" w:rsidRPr="009916F6">
              <w:rPr>
                <w:rStyle w:val="Hyperlink"/>
                <w:lang w:val="en-US" w:bidi="ar-QA"/>
              </w:rPr>
              <w:t>5</w:t>
            </w:r>
            <w:r w:rsidR="00367EC9">
              <w:rPr>
                <w:rFonts w:asciiTheme="minorHAnsi" w:eastAsiaTheme="minorEastAsia" w:hAnsiTheme="minorHAnsi" w:cstheme="minorBidi"/>
                <w:b w:val="0"/>
                <w:bCs w:val="0"/>
                <w:iCs w:val="0"/>
                <w:color w:val="auto"/>
                <w:sz w:val="22"/>
                <w:szCs w:val="22"/>
                <w:lang w:val="da-DK" w:eastAsia="da-DK"/>
              </w:rPr>
              <w:tab/>
            </w:r>
            <w:r w:rsidR="00367EC9" w:rsidRPr="009916F6">
              <w:rPr>
                <w:rStyle w:val="Hyperlink"/>
                <w:lang w:val="en-US" w:bidi="ar-QA"/>
              </w:rPr>
              <w:t>Miscellaneous</w:t>
            </w:r>
            <w:r w:rsidR="00367EC9">
              <w:rPr>
                <w:webHidden/>
              </w:rPr>
              <w:tab/>
            </w:r>
            <w:r w:rsidR="00367EC9">
              <w:rPr>
                <w:webHidden/>
              </w:rPr>
              <w:fldChar w:fldCharType="begin"/>
            </w:r>
            <w:r w:rsidR="00367EC9">
              <w:rPr>
                <w:webHidden/>
              </w:rPr>
              <w:instrText xml:space="preserve"> PAGEREF _Toc113005718 \h </w:instrText>
            </w:r>
            <w:r w:rsidR="00367EC9">
              <w:rPr>
                <w:webHidden/>
              </w:rPr>
            </w:r>
            <w:r w:rsidR="00367EC9">
              <w:rPr>
                <w:webHidden/>
              </w:rPr>
              <w:fldChar w:fldCharType="separate"/>
            </w:r>
            <w:r w:rsidR="00367EC9">
              <w:rPr>
                <w:webHidden/>
              </w:rPr>
              <w:t>7</w:t>
            </w:r>
            <w:r w:rsidR="00367EC9">
              <w:rPr>
                <w:webHidden/>
              </w:rPr>
              <w:fldChar w:fldCharType="end"/>
            </w:r>
          </w:hyperlink>
        </w:p>
        <w:p w14:paraId="01A9EF72" w14:textId="28C47C19"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19" w:history="1">
            <w:r w:rsidR="00367EC9" w:rsidRPr="009916F6">
              <w:rPr>
                <w:rStyle w:val="Hyperlink"/>
                <w:lang w:val="en-US" w:bidi="ar-QA"/>
              </w:rPr>
              <w:t>5.1</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val="en-US" w:bidi="ar-QA"/>
              </w:rPr>
              <w:t>System services</w:t>
            </w:r>
            <w:r w:rsidR="00367EC9">
              <w:rPr>
                <w:webHidden/>
              </w:rPr>
              <w:tab/>
            </w:r>
            <w:r w:rsidR="00367EC9">
              <w:rPr>
                <w:webHidden/>
              </w:rPr>
              <w:fldChar w:fldCharType="begin"/>
            </w:r>
            <w:r w:rsidR="00367EC9">
              <w:rPr>
                <w:webHidden/>
              </w:rPr>
              <w:instrText xml:space="preserve"> PAGEREF _Toc113005719 \h </w:instrText>
            </w:r>
            <w:r w:rsidR="00367EC9">
              <w:rPr>
                <w:webHidden/>
              </w:rPr>
            </w:r>
            <w:r w:rsidR="00367EC9">
              <w:rPr>
                <w:webHidden/>
              </w:rPr>
              <w:fldChar w:fldCharType="separate"/>
            </w:r>
            <w:r w:rsidR="00367EC9">
              <w:rPr>
                <w:webHidden/>
              </w:rPr>
              <w:t>7</w:t>
            </w:r>
            <w:r w:rsidR="00367EC9">
              <w:rPr>
                <w:webHidden/>
              </w:rPr>
              <w:fldChar w:fldCharType="end"/>
            </w:r>
          </w:hyperlink>
        </w:p>
        <w:p w14:paraId="6F539B10" w14:textId="670BB5C6" w:rsidR="00367EC9" w:rsidRDefault="00000000">
          <w:pPr>
            <w:pStyle w:val="Indholdsfortegnelse2"/>
            <w:rPr>
              <w:rFonts w:asciiTheme="minorHAnsi" w:eastAsiaTheme="minorEastAsia" w:hAnsiTheme="minorHAnsi" w:cstheme="minorBidi"/>
              <w:b w:val="0"/>
              <w:bCs w:val="0"/>
              <w:color w:val="auto"/>
              <w:sz w:val="22"/>
              <w:szCs w:val="22"/>
              <w:lang w:val="da-DK" w:eastAsia="da-DK"/>
            </w:rPr>
          </w:pPr>
          <w:hyperlink w:anchor="_Toc113005720" w:history="1">
            <w:r w:rsidR="00367EC9" w:rsidRPr="009916F6">
              <w:rPr>
                <w:rStyle w:val="Hyperlink"/>
                <w:lang w:val="en-US" w:bidi="ar-QA"/>
              </w:rPr>
              <w:t>5.2</w:t>
            </w:r>
            <w:r w:rsidR="00367EC9">
              <w:rPr>
                <w:rFonts w:asciiTheme="minorHAnsi" w:eastAsiaTheme="minorEastAsia" w:hAnsiTheme="minorHAnsi" w:cstheme="minorBidi"/>
                <w:b w:val="0"/>
                <w:bCs w:val="0"/>
                <w:color w:val="auto"/>
                <w:sz w:val="22"/>
                <w:szCs w:val="22"/>
                <w:lang w:val="da-DK" w:eastAsia="da-DK"/>
              </w:rPr>
              <w:tab/>
            </w:r>
            <w:r w:rsidR="00367EC9" w:rsidRPr="009916F6">
              <w:rPr>
                <w:rStyle w:val="Hyperlink"/>
                <w:lang w:val="en-US" w:bidi="ar-QA"/>
              </w:rPr>
              <w:t>Settlement</w:t>
            </w:r>
            <w:r w:rsidR="00367EC9">
              <w:rPr>
                <w:webHidden/>
              </w:rPr>
              <w:tab/>
            </w:r>
            <w:r w:rsidR="00367EC9">
              <w:rPr>
                <w:webHidden/>
              </w:rPr>
              <w:fldChar w:fldCharType="begin"/>
            </w:r>
            <w:r w:rsidR="00367EC9">
              <w:rPr>
                <w:webHidden/>
              </w:rPr>
              <w:instrText xml:space="preserve"> PAGEREF _Toc113005720 \h </w:instrText>
            </w:r>
            <w:r w:rsidR="00367EC9">
              <w:rPr>
                <w:webHidden/>
              </w:rPr>
            </w:r>
            <w:r w:rsidR="00367EC9">
              <w:rPr>
                <w:webHidden/>
              </w:rPr>
              <w:fldChar w:fldCharType="separate"/>
            </w:r>
            <w:r w:rsidR="00367EC9">
              <w:rPr>
                <w:webHidden/>
              </w:rPr>
              <w:t>8</w:t>
            </w:r>
            <w:r w:rsidR="00367EC9">
              <w:rPr>
                <w:webHidden/>
              </w:rPr>
              <w:fldChar w:fldCharType="end"/>
            </w:r>
          </w:hyperlink>
        </w:p>
        <w:p w14:paraId="0AC3DA8E" w14:textId="7570ACEC" w:rsidR="00E975E8" w:rsidRDefault="00E975E8">
          <w:r>
            <w:rPr>
              <w:b/>
              <w:bCs/>
            </w:rPr>
            <w:fldChar w:fldCharType="end"/>
          </w:r>
        </w:p>
      </w:sdtContent>
    </w:sdt>
    <w:p w14:paraId="751CF9D0" w14:textId="11D23D37" w:rsidR="000868F9" w:rsidRPr="000868F9" w:rsidRDefault="000868F9" w:rsidP="000868F9">
      <w:pPr>
        <w:tabs>
          <w:tab w:val="left" w:pos="9660"/>
        </w:tabs>
        <w:rPr>
          <w:lang w:eastAsia="de-DE"/>
        </w:rPr>
        <w:sectPr w:rsidR="000868F9" w:rsidRPr="000868F9" w:rsidSect="005E74D0">
          <w:headerReference w:type="even" r:id="rId20"/>
          <w:headerReference w:type="default" r:id="rId21"/>
          <w:footerReference w:type="even" r:id="rId22"/>
          <w:footerReference w:type="default" r:id="rId23"/>
          <w:headerReference w:type="first" r:id="rId24"/>
          <w:footerReference w:type="first" r:id="rId25"/>
          <w:pgSz w:w="11906" w:h="16838"/>
          <w:pgMar w:top="720" w:right="720" w:bottom="1134" w:left="720" w:header="709" w:footer="709" w:gutter="0"/>
          <w:cols w:space="708"/>
          <w:titlePg/>
          <w:docGrid w:linePitch="360"/>
        </w:sectPr>
      </w:pPr>
      <w:r>
        <w:rPr>
          <w:lang w:eastAsia="de-DE"/>
        </w:rPr>
        <w:tab/>
      </w:r>
    </w:p>
    <w:p w14:paraId="5A1797FC" w14:textId="5422CDB7" w:rsidR="00D2258E" w:rsidRDefault="00D2258E" w:rsidP="00EC67C1">
      <w:pPr>
        <w:pStyle w:val="Overskrift1"/>
      </w:pPr>
      <w:bookmarkStart w:id="0" w:name="_Toc54867969"/>
      <w:bookmarkStart w:id="1" w:name="_Toc103263138"/>
      <w:bookmarkStart w:id="2" w:name="_Toc113005695"/>
      <w:r>
        <w:lastRenderedPageBreak/>
        <w:t>Background</w:t>
      </w:r>
      <w:bookmarkEnd w:id="0"/>
      <w:bookmarkEnd w:id="1"/>
      <w:bookmarkEnd w:id="2"/>
    </w:p>
    <w:p w14:paraId="7C5D51BE" w14:textId="77777777" w:rsidR="00597392" w:rsidRPr="00211DA3" w:rsidRDefault="00597392" w:rsidP="00597392">
      <w:pPr>
        <w:pStyle w:val="Blocksatz"/>
        <w:rPr>
          <w:iCs/>
          <w:lang w:bidi="ar-QA"/>
        </w:rPr>
      </w:pPr>
      <w:r w:rsidRPr="00211DA3">
        <w:rPr>
          <w:iCs/>
          <w:lang w:bidi="ar-QA"/>
        </w:rPr>
        <w:t>The subsystems of Norway, Sweden, Finland and Eastern Denmark are synchronously interconnected. The subsystem of Western Denmark is connected to Norway, Sweden and Eastern Denmark using DC links. This Appendix describes the operation of the DC links between Norway and Western Denmark.</w:t>
      </w:r>
    </w:p>
    <w:p w14:paraId="62E9F858" w14:textId="77777777" w:rsidR="006435AC" w:rsidRPr="00211DA3" w:rsidRDefault="006435AC" w:rsidP="00D2258E">
      <w:pPr>
        <w:pStyle w:val="Blocksatz"/>
        <w:rPr>
          <w:iCs/>
          <w:lang w:bidi="ar-QA"/>
        </w:rPr>
      </w:pPr>
    </w:p>
    <w:p w14:paraId="6DABBDA6" w14:textId="40C0140D" w:rsidR="00663348" w:rsidRPr="00211DA3" w:rsidRDefault="00597392" w:rsidP="00663348">
      <w:pPr>
        <w:pStyle w:val="Overskrift1"/>
        <w:rPr>
          <w:iCs/>
        </w:rPr>
      </w:pPr>
      <w:bookmarkStart w:id="3" w:name="_Toc54867970"/>
      <w:bookmarkStart w:id="4" w:name="_Toc103263139"/>
      <w:bookmarkStart w:id="5" w:name="_Toc113005696"/>
      <w:r w:rsidRPr="00211DA3">
        <w:rPr>
          <w:iCs/>
        </w:rPr>
        <w:t>Transmission facilities linking the subsystems of Norway – Western Denmark</w:t>
      </w:r>
      <w:bookmarkEnd w:id="3"/>
      <w:bookmarkEnd w:id="4"/>
      <w:bookmarkEnd w:id="5"/>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1559"/>
        <w:gridCol w:w="3118"/>
      </w:tblGrid>
      <w:tr w:rsidR="00597392" w:rsidRPr="00211DA3" w14:paraId="0DA044B1" w14:textId="77777777" w:rsidTr="00597392">
        <w:tc>
          <w:tcPr>
            <w:tcW w:w="3331" w:type="dxa"/>
            <w:shd w:val="clear" w:color="auto" w:fill="auto"/>
          </w:tcPr>
          <w:p w14:paraId="7A306345" w14:textId="77777777" w:rsidR="00597392" w:rsidRPr="00211DA3" w:rsidRDefault="00597392" w:rsidP="00597392">
            <w:pPr>
              <w:pStyle w:val="Blocksatz"/>
              <w:rPr>
                <w:b/>
                <w:bCs/>
                <w:iCs/>
                <w:lang w:bidi="ar-QA"/>
              </w:rPr>
            </w:pPr>
            <w:r w:rsidRPr="00211DA3">
              <w:rPr>
                <w:b/>
                <w:bCs/>
                <w:iCs/>
                <w:lang w:bidi="ar-QA"/>
              </w:rPr>
              <w:t>Facility</w:t>
            </w:r>
          </w:p>
        </w:tc>
        <w:tc>
          <w:tcPr>
            <w:tcW w:w="1559" w:type="dxa"/>
            <w:shd w:val="clear" w:color="auto" w:fill="auto"/>
          </w:tcPr>
          <w:p w14:paraId="2D5D485A" w14:textId="77777777" w:rsidR="00597392" w:rsidRPr="00211DA3" w:rsidRDefault="00597392" w:rsidP="00597392">
            <w:pPr>
              <w:pStyle w:val="Blocksatz"/>
              <w:rPr>
                <w:b/>
                <w:bCs/>
                <w:iCs/>
                <w:lang w:bidi="ar-QA"/>
              </w:rPr>
            </w:pPr>
            <w:r w:rsidRPr="00211DA3">
              <w:rPr>
                <w:b/>
                <w:bCs/>
                <w:iCs/>
                <w:lang w:bidi="ar-QA"/>
              </w:rPr>
              <w:t>Voltage kV</w:t>
            </w:r>
          </w:p>
        </w:tc>
        <w:tc>
          <w:tcPr>
            <w:tcW w:w="3118" w:type="dxa"/>
            <w:shd w:val="clear" w:color="auto" w:fill="auto"/>
          </w:tcPr>
          <w:p w14:paraId="6EAD68F4" w14:textId="77777777" w:rsidR="00597392" w:rsidRPr="00211DA3" w:rsidRDefault="00597392" w:rsidP="00597392">
            <w:pPr>
              <w:pStyle w:val="Blocksatz"/>
              <w:rPr>
                <w:b/>
                <w:bCs/>
                <w:iCs/>
                <w:lang w:bidi="ar-QA"/>
              </w:rPr>
            </w:pPr>
            <w:r w:rsidRPr="00211DA3">
              <w:rPr>
                <w:b/>
                <w:bCs/>
                <w:iCs/>
                <w:lang w:bidi="ar-QA"/>
              </w:rPr>
              <w:t>Settlement point</w:t>
            </w:r>
          </w:p>
        </w:tc>
      </w:tr>
      <w:tr w:rsidR="00597392" w:rsidRPr="00211DA3" w14:paraId="1A921131" w14:textId="77777777" w:rsidTr="00597392">
        <w:tc>
          <w:tcPr>
            <w:tcW w:w="3331" w:type="dxa"/>
            <w:shd w:val="clear" w:color="auto" w:fill="auto"/>
          </w:tcPr>
          <w:p w14:paraId="5877EB14" w14:textId="77777777" w:rsidR="00597392" w:rsidRPr="00211DA3" w:rsidRDefault="00597392" w:rsidP="00597392">
            <w:pPr>
              <w:pStyle w:val="Blocksatz"/>
              <w:rPr>
                <w:bCs/>
                <w:iCs/>
                <w:lang w:val="sv-SE" w:bidi="ar-QA"/>
              </w:rPr>
            </w:pPr>
            <w:r w:rsidRPr="00211DA3">
              <w:rPr>
                <w:bCs/>
                <w:iCs/>
                <w:lang w:val="sv-SE" w:bidi="ar-QA"/>
              </w:rPr>
              <w:t>Kristiansand-Tjele SK1, SK2</w:t>
            </w:r>
          </w:p>
        </w:tc>
        <w:tc>
          <w:tcPr>
            <w:tcW w:w="1559" w:type="dxa"/>
            <w:shd w:val="clear" w:color="auto" w:fill="auto"/>
          </w:tcPr>
          <w:p w14:paraId="0B8241A0" w14:textId="77777777" w:rsidR="00597392" w:rsidRPr="00211DA3" w:rsidRDefault="00597392" w:rsidP="00597392">
            <w:pPr>
              <w:pStyle w:val="Blocksatz"/>
              <w:rPr>
                <w:bCs/>
                <w:iCs/>
                <w:lang w:val="sv-SE" w:bidi="ar-QA"/>
              </w:rPr>
            </w:pPr>
            <w:r w:rsidRPr="00211DA3">
              <w:rPr>
                <w:bCs/>
                <w:iCs/>
                <w:lang w:val="sv-SE" w:bidi="ar-QA"/>
              </w:rPr>
              <w:t>250 kV DC</w:t>
            </w:r>
          </w:p>
        </w:tc>
        <w:tc>
          <w:tcPr>
            <w:tcW w:w="3118" w:type="dxa"/>
            <w:shd w:val="clear" w:color="auto" w:fill="auto"/>
          </w:tcPr>
          <w:p w14:paraId="1F1C450F" w14:textId="77777777" w:rsidR="00597392" w:rsidRPr="00211DA3" w:rsidRDefault="00597392" w:rsidP="00597392">
            <w:pPr>
              <w:pStyle w:val="Blocksatz"/>
              <w:rPr>
                <w:bCs/>
                <w:iCs/>
                <w:lang w:val="sv-SE" w:bidi="ar-QA"/>
              </w:rPr>
            </w:pPr>
            <w:r w:rsidRPr="00211DA3">
              <w:rPr>
                <w:bCs/>
                <w:iCs/>
                <w:lang w:val="sv-SE" w:bidi="ar-QA"/>
              </w:rPr>
              <w:t>Receiving end</w:t>
            </w:r>
          </w:p>
        </w:tc>
      </w:tr>
      <w:tr w:rsidR="00597392" w:rsidRPr="00211DA3" w14:paraId="5278863D" w14:textId="77777777" w:rsidTr="00597392">
        <w:tc>
          <w:tcPr>
            <w:tcW w:w="3331" w:type="dxa"/>
            <w:shd w:val="clear" w:color="auto" w:fill="auto"/>
          </w:tcPr>
          <w:p w14:paraId="70AA35E0" w14:textId="77777777" w:rsidR="00597392" w:rsidRPr="00211DA3" w:rsidRDefault="00597392" w:rsidP="00597392">
            <w:pPr>
              <w:pStyle w:val="Blocksatz"/>
              <w:rPr>
                <w:bCs/>
                <w:iCs/>
                <w:lang w:val="sv-SE" w:bidi="ar-QA"/>
              </w:rPr>
            </w:pPr>
            <w:r w:rsidRPr="00211DA3">
              <w:rPr>
                <w:bCs/>
                <w:iCs/>
                <w:lang w:val="sv-SE" w:bidi="ar-QA"/>
              </w:rPr>
              <w:t>Kristiansand-Tjele SK3</w:t>
            </w:r>
          </w:p>
        </w:tc>
        <w:tc>
          <w:tcPr>
            <w:tcW w:w="1559" w:type="dxa"/>
            <w:shd w:val="clear" w:color="auto" w:fill="auto"/>
          </w:tcPr>
          <w:p w14:paraId="4CE1D19A" w14:textId="77777777" w:rsidR="00597392" w:rsidRPr="00211DA3" w:rsidRDefault="00597392" w:rsidP="00597392">
            <w:pPr>
              <w:pStyle w:val="Blocksatz"/>
              <w:rPr>
                <w:bCs/>
                <w:iCs/>
                <w:lang w:val="sv-SE" w:bidi="ar-QA"/>
              </w:rPr>
            </w:pPr>
            <w:r w:rsidRPr="00211DA3">
              <w:rPr>
                <w:bCs/>
                <w:iCs/>
                <w:lang w:val="sv-SE" w:bidi="ar-QA"/>
              </w:rPr>
              <w:t>350 kV DC</w:t>
            </w:r>
          </w:p>
        </w:tc>
        <w:tc>
          <w:tcPr>
            <w:tcW w:w="3118" w:type="dxa"/>
            <w:shd w:val="clear" w:color="auto" w:fill="auto"/>
          </w:tcPr>
          <w:p w14:paraId="0E32EB46" w14:textId="77777777" w:rsidR="00597392" w:rsidRPr="00211DA3" w:rsidRDefault="00597392" w:rsidP="00597392">
            <w:pPr>
              <w:pStyle w:val="Blocksatz"/>
              <w:rPr>
                <w:bCs/>
                <w:iCs/>
                <w:lang w:val="sv-SE" w:bidi="ar-QA"/>
              </w:rPr>
            </w:pPr>
            <w:r w:rsidRPr="00211DA3">
              <w:rPr>
                <w:bCs/>
                <w:iCs/>
                <w:lang w:val="sv-SE" w:bidi="ar-QA"/>
              </w:rPr>
              <w:t>Receiving end</w:t>
            </w:r>
          </w:p>
        </w:tc>
      </w:tr>
      <w:tr w:rsidR="00597392" w:rsidRPr="00211DA3" w14:paraId="509B9C94" w14:textId="77777777" w:rsidTr="00597392">
        <w:tc>
          <w:tcPr>
            <w:tcW w:w="3331" w:type="dxa"/>
            <w:shd w:val="clear" w:color="auto" w:fill="auto"/>
          </w:tcPr>
          <w:p w14:paraId="74C2B9A2" w14:textId="77777777" w:rsidR="00597392" w:rsidRPr="00211DA3" w:rsidRDefault="00597392" w:rsidP="00597392">
            <w:pPr>
              <w:pStyle w:val="Blocksatz"/>
              <w:rPr>
                <w:bCs/>
                <w:iCs/>
                <w:lang w:val="sv-SE" w:bidi="ar-QA"/>
              </w:rPr>
            </w:pPr>
            <w:r w:rsidRPr="00211DA3">
              <w:rPr>
                <w:bCs/>
                <w:iCs/>
                <w:lang w:val="sv-SE" w:bidi="ar-QA"/>
              </w:rPr>
              <w:t>Kristiansand-Tjele SK4</w:t>
            </w:r>
          </w:p>
        </w:tc>
        <w:tc>
          <w:tcPr>
            <w:tcW w:w="1559" w:type="dxa"/>
            <w:shd w:val="clear" w:color="auto" w:fill="auto"/>
          </w:tcPr>
          <w:p w14:paraId="6D587622" w14:textId="77777777" w:rsidR="00597392" w:rsidRPr="00211DA3" w:rsidRDefault="00597392" w:rsidP="00597392">
            <w:pPr>
              <w:pStyle w:val="Blocksatz"/>
              <w:rPr>
                <w:bCs/>
                <w:iCs/>
                <w:lang w:val="sv-SE" w:bidi="ar-QA"/>
              </w:rPr>
            </w:pPr>
            <w:r w:rsidRPr="00211DA3">
              <w:rPr>
                <w:bCs/>
                <w:iCs/>
                <w:lang w:val="sv-SE" w:bidi="ar-QA"/>
              </w:rPr>
              <w:t>500 kV DC</w:t>
            </w:r>
          </w:p>
        </w:tc>
        <w:tc>
          <w:tcPr>
            <w:tcW w:w="3118" w:type="dxa"/>
            <w:shd w:val="clear" w:color="auto" w:fill="auto"/>
          </w:tcPr>
          <w:p w14:paraId="75B8E0F9" w14:textId="77777777" w:rsidR="00597392" w:rsidRPr="00211DA3" w:rsidRDefault="00597392" w:rsidP="00597392">
            <w:pPr>
              <w:pStyle w:val="Blocksatz"/>
              <w:rPr>
                <w:bCs/>
                <w:iCs/>
                <w:lang w:val="sv-SE" w:bidi="ar-QA"/>
              </w:rPr>
            </w:pPr>
            <w:r w:rsidRPr="00211DA3">
              <w:rPr>
                <w:bCs/>
                <w:iCs/>
                <w:lang w:val="sv-SE" w:bidi="ar-QA"/>
              </w:rPr>
              <w:t>Receiving end</w:t>
            </w:r>
          </w:p>
        </w:tc>
      </w:tr>
    </w:tbl>
    <w:p w14:paraId="7B040711" w14:textId="695B3878" w:rsidR="001D0731" w:rsidRPr="00211DA3" w:rsidRDefault="001D0731" w:rsidP="001D0731">
      <w:pPr>
        <w:pStyle w:val="Blocksatz"/>
        <w:rPr>
          <w:bCs/>
          <w:iCs/>
          <w:lang w:bidi="ar-QA"/>
        </w:rPr>
      </w:pPr>
    </w:p>
    <w:p w14:paraId="5F13E78A" w14:textId="77777777" w:rsidR="00597392" w:rsidRPr="00211DA3" w:rsidRDefault="00597392" w:rsidP="00597392">
      <w:pPr>
        <w:pStyle w:val="Blocksatz"/>
        <w:rPr>
          <w:bCs/>
          <w:iCs/>
          <w:lang w:bidi="ar-QA"/>
        </w:rPr>
      </w:pPr>
      <w:r w:rsidRPr="00211DA3">
        <w:rPr>
          <w:bCs/>
          <w:iCs/>
          <w:lang w:bidi="ar-QA"/>
        </w:rPr>
        <w:t>Together, SK1, SK2, SK3 and SK4 make up the Skagerrak link.</w:t>
      </w:r>
    </w:p>
    <w:p w14:paraId="19A68E40" w14:textId="77777777" w:rsidR="00597392" w:rsidRPr="00211DA3" w:rsidRDefault="00597392" w:rsidP="00597392">
      <w:pPr>
        <w:pStyle w:val="Blocksatz"/>
        <w:rPr>
          <w:bCs/>
          <w:iCs/>
          <w:lang w:bidi="ar-QA"/>
        </w:rPr>
      </w:pPr>
    </w:p>
    <w:p w14:paraId="25ABDD0E" w14:textId="539B954B" w:rsidR="00597392" w:rsidRPr="00211DA3" w:rsidRDefault="00330402" w:rsidP="00597392">
      <w:pPr>
        <w:pStyle w:val="Overskrift1"/>
        <w:rPr>
          <w:iCs/>
        </w:rPr>
      </w:pPr>
      <w:bookmarkStart w:id="6" w:name="_Toc54867971"/>
      <w:bookmarkStart w:id="7" w:name="_Toc103263140"/>
      <w:bookmarkStart w:id="8" w:name="_Toc113005697"/>
      <w:r w:rsidRPr="00211DA3">
        <w:rPr>
          <w:iCs/>
        </w:rPr>
        <w:t>Operation of</w:t>
      </w:r>
      <w:r w:rsidR="00597392" w:rsidRPr="00211DA3">
        <w:rPr>
          <w:iCs/>
        </w:rPr>
        <w:t xml:space="preserve"> facilities under 2</w:t>
      </w:r>
      <w:bookmarkEnd w:id="6"/>
      <w:bookmarkEnd w:id="7"/>
      <w:bookmarkEnd w:id="8"/>
    </w:p>
    <w:p w14:paraId="7FFD0C44" w14:textId="35152869" w:rsidR="00597392" w:rsidRPr="00211DA3" w:rsidRDefault="00597392" w:rsidP="00597392">
      <w:pPr>
        <w:pStyle w:val="Overskrift2"/>
        <w:rPr>
          <w:iCs/>
        </w:rPr>
      </w:pPr>
      <w:bookmarkStart w:id="9" w:name="_Toc54867972"/>
      <w:bookmarkStart w:id="10" w:name="_Toc103263038"/>
      <w:bookmarkStart w:id="11" w:name="_Toc103263141"/>
      <w:bookmarkStart w:id="12" w:name="_Toc113005698"/>
      <w:r w:rsidRPr="00211DA3">
        <w:rPr>
          <w:iCs/>
        </w:rPr>
        <w:t>General</w:t>
      </w:r>
      <w:bookmarkEnd w:id="9"/>
      <w:bookmarkEnd w:id="10"/>
      <w:bookmarkEnd w:id="11"/>
      <w:bookmarkEnd w:id="12"/>
    </w:p>
    <w:p w14:paraId="2888638C" w14:textId="77777777" w:rsidR="00597392" w:rsidRPr="00211DA3" w:rsidRDefault="00597392" w:rsidP="00597392">
      <w:pPr>
        <w:pStyle w:val="Blocksatz"/>
        <w:rPr>
          <w:bCs/>
          <w:iCs/>
          <w:lang w:bidi="ar-QA"/>
        </w:rPr>
      </w:pPr>
      <w:r w:rsidRPr="00211DA3">
        <w:rPr>
          <w:bCs/>
          <w:iCs/>
          <w:lang w:bidi="ar-QA"/>
        </w:rPr>
        <w:t>The common ground for the electrical safety work of the system operator companies within ENTSO-E Regional Group Nordic is constituted by the European standard for managing electrical high-voltage facilities EN 50 110 which governs the organisation and working methods. In addition to the standard, there are national regulations and special instructions which entail certain mutual differences between the system operators as regards dealing with operational issues from an electrical safety point of view.</w:t>
      </w:r>
    </w:p>
    <w:p w14:paraId="135FAAA8" w14:textId="77777777" w:rsidR="00597392" w:rsidRPr="00211DA3" w:rsidRDefault="00597392" w:rsidP="00597392">
      <w:pPr>
        <w:pStyle w:val="Blocksatz"/>
        <w:rPr>
          <w:bCs/>
          <w:iCs/>
          <w:lang w:bidi="ar-QA"/>
        </w:rPr>
      </w:pPr>
    </w:p>
    <w:p w14:paraId="5822BCBB" w14:textId="6470EE22" w:rsidR="00597392" w:rsidRPr="00211DA3" w:rsidRDefault="00597392" w:rsidP="00597392">
      <w:pPr>
        <w:pStyle w:val="Overskrift2"/>
        <w:rPr>
          <w:iCs/>
        </w:rPr>
      </w:pPr>
      <w:bookmarkStart w:id="13" w:name="_Toc54867973"/>
      <w:bookmarkStart w:id="14" w:name="_Toc103263039"/>
      <w:bookmarkStart w:id="15" w:name="_Toc103263142"/>
      <w:bookmarkStart w:id="16" w:name="_Toc113005699"/>
      <w:r w:rsidRPr="00211DA3">
        <w:rPr>
          <w:iCs/>
        </w:rPr>
        <w:t>Responsibility for operation</w:t>
      </w:r>
      <w:bookmarkEnd w:id="13"/>
      <w:bookmarkEnd w:id="14"/>
      <w:bookmarkEnd w:id="15"/>
      <w:bookmarkEnd w:id="16"/>
    </w:p>
    <w:p w14:paraId="2842E4AE" w14:textId="51DE0898" w:rsidR="00597392" w:rsidRPr="00211DA3" w:rsidRDefault="00597392" w:rsidP="00597392">
      <w:pPr>
        <w:pStyle w:val="Blocksatz"/>
        <w:rPr>
          <w:bCs/>
          <w:iCs/>
          <w:lang w:bidi="ar-QA"/>
        </w:rPr>
      </w:pPr>
      <w:r w:rsidRPr="00211DA3">
        <w:rPr>
          <w:bCs/>
          <w:iCs/>
          <w:lang w:bidi="ar-QA"/>
        </w:rPr>
        <w:t>The responsibility for operation of the transmission facilities is held in Western Denmark by Energinet and in Norway by Statnett. The responsibility for operation is regulated by the operation agreements between Energinet and Statnett.</w:t>
      </w:r>
    </w:p>
    <w:p w14:paraId="6B9233B9" w14:textId="2DDA767C" w:rsidR="00597392" w:rsidRDefault="00597392" w:rsidP="001D0731">
      <w:pPr>
        <w:pStyle w:val="Blocksatz"/>
        <w:rPr>
          <w:bCs/>
          <w:lang w:bidi="ar-QA"/>
        </w:rPr>
      </w:pPr>
    </w:p>
    <w:p w14:paraId="40CA0963" w14:textId="29229E74" w:rsidR="00597392" w:rsidRPr="00597392" w:rsidRDefault="00597392" w:rsidP="00597392">
      <w:pPr>
        <w:pStyle w:val="Overskrift2"/>
      </w:pPr>
      <w:bookmarkStart w:id="17" w:name="_Toc54867974"/>
      <w:bookmarkStart w:id="18" w:name="_Toc103263040"/>
      <w:bookmarkStart w:id="19" w:name="_Toc103263143"/>
      <w:bookmarkStart w:id="20" w:name="_Toc113005700"/>
      <w:r w:rsidRPr="00597392">
        <w:lastRenderedPageBreak/>
        <w:t>Switching responsible operator</w:t>
      </w:r>
      <w:bookmarkEnd w:id="17"/>
      <w:bookmarkEnd w:id="18"/>
      <w:bookmarkEnd w:id="19"/>
      <w:bookmarkEnd w:id="20"/>
    </w:p>
    <w:p w14:paraId="506B9E22" w14:textId="4DFC9113" w:rsidR="00597392" w:rsidRPr="00211DA3" w:rsidRDefault="00A2125D" w:rsidP="00597392">
      <w:pPr>
        <w:pStyle w:val="Overskrift3"/>
      </w:pPr>
      <w:bookmarkStart w:id="21" w:name="_Toc103263041"/>
      <w:bookmarkStart w:id="22" w:name="_Toc103263144"/>
      <w:bookmarkStart w:id="23" w:name="_Toc113005701"/>
      <w:r w:rsidRPr="00211DA3">
        <w:t>Switching</w:t>
      </w:r>
      <w:bookmarkEnd w:id="21"/>
      <w:bookmarkEnd w:id="22"/>
      <w:bookmarkEnd w:id="23"/>
    </w:p>
    <w:p w14:paraId="4B9E67B3" w14:textId="4CC51BB6" w:rsidR="00597392" w:rsidRPr="00211DA3" w:rsidRDefault="00597392" w:rsidP="00597392">
      <w:pPr>
        <w:pStyle w:val="Blocksatz"/>
        <w:rPr>
          <w:bCs/>
          <w:lang w:bidi="ar-QA"/>
        </w:rPr>
      </w:pPr>
      <w:r w:rsidRPr="00211DA3">
        <w:rPr>
          <w:bCs/>
          <w:lang w:bidi="ar-QA"/>
        </w:rPr>
        <w:t xml:space="preserve">In the event of outages on the HVDC </w:t>
      </w:r>
      <w:r w:rsidR="00FD2102" w:rsidRPr="00211DA3">
        <w:rPr>
          <w:bCs/>
          <w:lang w:bidi="ar-QA"/>
        </w:rPr>
        <w:t>cables</w:t>
      </w:r>
      <w:r w:rsidRPr="00211DA3">
        <w:rPr>
          <w:bCs/>
          <w:lang w:bidi="ar-QA"/>
        </w:rPr>
        <w:t xml:space="preserve">, there shall be an exchange of written confirmation, before a work authorization can be dispatched, between Statnett’s Regional Control Centre in Oslo and Energinet’s control room at Tjele stating that the HVDC </w:t>
      </w:r>
      <w:r w:rsidR="00175770" w:rsidRPr="00211DA3">
        <w:rPr>
          <w:bCs/>
          <w:lang w:bidi="ar-QA"/>
        </w:rPr>
        <w:t xml:space="preserve">disconnectors </w:t>
      </w:r>
      <w:r w:rsidRPr="00211DA3">
        <w:rPr>
          <w:bCs/>
          <w:lang w:bidi="ar-QA"/>
        </w:rPr>
        <w:t>are open and the line is terminal grounded and blocked against connection.</w:t>
      </w:r>
    </w:p>
    <w:p w14:paraId="16FD26B4" w14:textId="77777777" w:rsidR="00597392" w:rsidRPr="00211DA3" w:rsidRDefault="00597392" w:rsidP="00597392">
      <w:pPr>
        <w:pStyle w:val="Blocksatz"/>
        <w:rPr>
          <w:bCs/>
          <w:lang w:bidi="ar-QA"/>
        </w:rPr>
      </w:pPr>
    </w:p>
    <w:p w14:paraId="08C297B8" w14:textId="71E325C3" w:rsidR="00597392" w:rsidRPr="00211DA3" w:rsidRDefault="00597392" w:rsidP="00597392">
      <w:pPr>
        <w:pStyle w:val="Overskrift3"/>
      </w:pPr>
      <w:bookmarkStart w:id="24" w:name="_Toc54867976"/>
      <w:bookmarkStart w:id="25" w:name="_Toc103263042"/>
      <w:bookmarkStart w:id="26" w:name="_Toc103263145"/>
      <w:bookmarkStart w:id="27" w:name="_Toc113005702"/>
      <w:r w:rsidRPr="00211DA3">
        <w:t>Switching responsible operator</w:t>
      </w:r>
      <w:bookmarkEnd w:id="24"/>
      <w:bookmarkEnd w:id="25"/>
      <w:bookmarkEnd w:id="26"/>
      <w:bookmarkEnd w:id="27"/>
    </w:p>
    <w:p w14:paraId="2C431688" w14:textId="23C4EC08" w:rsidR="00597392" w:rsidRPr="00211DA3" w:rsidRDefault="00597392" w:rsidP="00597392">
      <w:pPr>
        <w:pStyle w:val="Blocksatz"/>
        <w:rPr>
          <w:bCs/>
          <w:lang w:bidi="ar-QA"/>
        </w:rPr>
      </w:pPr>
      <w:r w:rsidRPr="00211DA3">
        <w:rPr>
          <w:bCs/>
          <w:lang w:bidi="ar-QA"/>
        </w:rPr>
        <w:t xml:space="preserve">On the Danish side, the authorization to switch in respect of the switching and switching off of the converter stations is given by Energinet’s Control Centre at </w:t>
      </w:r>
      <w:r w:rsidR="00E21E54" w:rsidRPr="00211DA3">
        <w:rPr>
          <w:bCs/>
          <w:lang w:bidi="ar-QA"/>
        </w:rPr>
        <w:t>Erritsø</w:t>
      </w:r>
      <w:r w:rsidRPr="00211DA3">
        <w:rPr>
          <w:bCs/>
          <w:lang w:bidi="ar-QA"/>
        </w:rPr>
        <w:t xml:space="preserve">, while authorization for all </w:t>
      </w:r>
      <w:r w:rsidR="00A2125D" w:rsidRPr="00211DA3">
        <w:rPr>
          <w:bCs/>
          <w:lang w:bidi="ar-QA"/>
        </w:rPr>
        <w:t>switching</w:t>
      </w:r>
      <w:r w:rsidRPr="00211DA3">
        <w:rPr>
          <w:bCs/>
          <w:lang w:bidi="ar-QA"/>
        </w:rPr>
        <w:t xml:space="preserve"> and work authorizations on the HVDC side of the facilities is given by the local operational management at Tjele.</w:t>
      </w:r>
    </w:p>
    <w:p w14:paraId="14B5B001" w14:textId="77777777" w:rsidR="00597392" w:rsidRPr="00211DA3" w:rsidRDefault="00597392" w:rsidP="00597392">
      <w:pPr>
        <w:pStyle w:val="Blocksatz"/>
        <w:rPr>
          <w:bCs/>
          <w:lang w:bidi="ar-QA"/>
        </w:rPr>
      </w:pPr>
      <w:r w:rsidRPr="00211DA3">
        <w:rPr>
          <w:bCs/>
          <w:lang w:bidi="ar-QA"/>
        </w:rPr>
        <w:t>On the Norwegian side, Statnett’s Regional Control Centre in Oslo gives the switching authorization, and issues work authorizations on the Norwegian side.</w:t>
      </w:r>
    </w:p>
    <w:p w14:paraId="0E515B83" w14:textId="282A520C" w:rsidR="00597392" w:rsidRPr="00211DA3" w:rsidRDefault="00A2125D" w:rsidP="00597392">
      <w:pPr>
        <w:pStyle w:val="Blocksatz"/>
        <w:rPr>
          <w:bCs/>
          <w:lang w:bidi="ar-QA"/>
        </w:rPr>
      </w:pPr>
      <w:r w:rsidRPr="00211DA3">
        <w:rPr>
          <w:bCs/>
          <w:lang w:bidi="ar-QA"/>
        </w:rPr>
        <w:t>Switching</w:t>
      </w:r>
      <w:r w:rsidR="00597392" w:rsidRPr="00211DA3">
        <w:rPr>
          <w:bCs/>
          <w:lang w:bidi="ar-QA"/>
        </w:rPr>
        <w:t xml:space="preserve"> at the AC facilities are normally carried out from Energinet’s Control Centre at </w:t>
      </w:r>
      <w:r w:rsidR="00E21E54" w:rsidRPr="00211DA3">
        <w:rPr>
          <w:bCs/>
          <w:lang w:bidi="ar-QA"/>
        </w:rPr>
        <w:t xml:space="preserve">Erritsø </w:t>
      </w:r>
      <w:r w:rsidR="00597392" w:rsidRPr="00211DA3">
        <w:rPr>
          <w:bCs/>
          <w:lang w:bidi="ar-QA"/>
        </w:rPr>
        <w:t xml:space="preserve">and from Statnett’s Regional Control Centre in Oslo. </w:t>
      </w:r>
    </w:p>
    <w:p w14:paraId="62306364" w14:textId="77777777" w:rsidR="00597392" w:rsidRPr="00211DA3" w:rsidRDefault="00597392" w:rsidP="00597392">
      <w:pPr>
        <w:pStyle w:val="Blocksatz"/>
        <w:rPr>
          <w:bCs/>
          <w:lang w:bidi="ar-QA"/>
        </w:rPr>
      </w:pPr>
    </w:p>
    <w:p w14:paraId="7561D302" w14:textId="0125F977" w:rsidR="00597392" w:rsidRPr="00211DA3" w:rsidRDefault="00597392" w:rsidP="00597392">
      <w:pPr>
        <w:pStyle w:val="Overskrift2"/>
      </w:pPr>
      <w:bookmarkStart w:id="28" w:name="_Toc54867977"/>
      <w:bookmarkStart w:id="29" w:name="_Toc103263043"/>
      <w:bookmarkStart w:id="30" w:name="_Toc103263146"/>
      <w:bookmarkStart w:id="31" w:name="_Toc113005703"/>
      <w:r w:rsidRPr="00211DA3">
        <w:t>Operation monitoring and control</w:t>
      </w:r>
      <w:bookmarkEnd w:id="28"/>
      <w:bookmarkEnd w:id="29"/>
      <w:bookmarkEnd w:id="30"/>
      <w:bookmarkEnd w:id="31"/>
    </w:p>
    <w:p w14:paraId="37A0A61C" w14:textId="78538D3C" w:rsidR="00597392" w:rsidRPr="00211DA3" w:rsidRDefault="00597392" w:rsidP="00597392">
      <w:pPr>
        <w:pStyle w:val="Blocksatz"/>
        <w:rPr>
          <w:bCs/>
          <w:lang w:bidi="ar-QA"/>
        </w:rPr>
      </w:pPr>
      <w:r w:rsidRPr="00211DA3">
        <w:rPr>
          <w:bCs/>
          <w:lang w:bidi="ar-QA"/>
        </w:rPr>
        <w:t>Operation monitoring and control is carried out from:</w:t>
      </w:r>
    </w:p>
    <w:p w14:paraId="29114542" w14:textId="426F0AEC" w:rsidR="00597392" w:rsidRPr="00211DA3" w:rsidRDefault="00597392" w:rsidP="005613AA">
      <w:pPr>
        <w:pStyle w:val="Blocksatz"/>
        <w:numPr>
          <w:ilvl w:val="0"/>
          <w:numId w:val="34"/>
        </w:numPr>
        <w:jc w:val="left"/>
        <w:rPr>
          <w:bCs/>
          <w:lang w:bidi="ar-QA"/>
        </w:rPr>
      </w:pPr>
      <w:r w:rsidRPr="00211DA3">
        <w:rPr>
          <w:bCs/>
          <w:lang w:bidi="ar-QA"/>
        </w:rPr>
        <w:t xml:space="preserve">Energinet’s Control Centres at </w:t>
      </w:r>
      <w:r w:rsidR="00C40EBF" w:rsidRPr="00211DA3">
        <w:rPr>
          <w:bCs/>
          <w:lang w:bidi="ar-QA"/>
        </w:rPr>
        <w:t xml:space="preserve">Erritsø </w:t>
      </w:r>
      <w:r w:rsidRPr="00211DA3">
        <w:rPr>
          <w:bCs/>
          <w:lang w:bidi="ar-QA"/>
        </w:rPr>
        <w:t>or Tjele.</w:t>
      </w:r>
      <w:r w:rsidR="00FF427C" w:rsidRPr="00211DA3">
        <w:rPr>
          <w:bCs/>
          <w:lang w:bidi="ar-QA"/>
        </w:rPr>
        <w:br/>
      </w:r>
      <w:r w:rsidR="005613AA" w:rsidRPr="00211DA3">
        <w:rPr>
          <w:bCs/>
          <w:lang w:bidi="ar-QA"/>
        </w:rPr>
        <w:t>Statnett’s Regional Control Centre in Oslo.</w:t>
      </w:r>
    </w:p>
    <w:p w14:paraId="28EDEBEB" w14:textId="241205A3" w:rsidR="00C66881" w:rsidRPr="00211DA3" w:rsidRDefault="00D92C55" w:rsidP="00D92C55">
      <w:pPr>
        <w:pStyle w:val="Blocksatz"/>
        <w:numPr>
          <w:ilvl w:val="0"/>
          <w:numId w:val="34"/>
        </w:numPr>
        <w:rPr>
          <w:bCs/>
          <w:lang w:bidi="ar-QA"/>
        </w:rPr>
      </w:pPr>
      <w:r w:rsidRPr="00211DA3">
        <w:rPr>
          <w:bCs/>
          <w:lang w:bidi="ar-QA"/>
        </w:rPr>
        <w:t xml:space="preserve">The four DC </w:t>
      </w:r>
      <w:r w:rsidR="00D209F4" w:rsidRPr="00211DA3">
        <w:rPr>
          <w:bCs/>
          <w:lang w:bidi="ar-QA"/>
        </w:rPr>
        <w:t>poles</w:t>
      </w:r>
      <w:r w:rsidRPr="00211DA3">
        <w:rPr>
          <w:bCs/>
          <w:lang w:bidi="ar-QA"/>
        </w:rPr>
        <w:t xml:space="preserve"> can be operated individually from </w:t>
      </w:r>
      <w:r w:rsidR="008C0652" w:rsidRPr="00211DA3">
        <w:rPr>
          <w:bCs/>
          <w:lang w:bidi="ar-QA"/>
        </w:rPr>
        <w:t xml:space="preserve">Statnett’s Control Centre in Oslo and from Energinet’s Control Centre in </w:t>
      </w:r>
      <w:r w:rsidRPr="00211DA3">
        <w:rPr>
          <w:bCs/>
          <w:lang w:bidi="ar-QA"/>
        </w:rPr>
        <w:t>Tje</w:t>
      </w:r>
      <w:r w:rsidR="00C66881" w:rsidRPr="00211DA3">
        <w:rPr>
          <w:bCs/>
          <w:lang w:bidi="ar-QA"/>
        </w:rPr>
        <w:t>l</w:t>
      </w:r>
      <w:r w:rsidRPr="00211DA3">
        <w:rPr>
          <w:bCs/>
          <w:lang w:bidi="ar-QA"/>
        </w:rPr>
        <w:t>e</w:t>
      </w:r>
      <w:r w:rsidR="00C66881" w:rsidRPr="00211DA3">
        <w:rPr>
          <w:bCs/>
          <w:lang w:bidi="ar-QA"/>
        </w:rPr>
        <w:t>.</w:t>
      </w:r>
    </w:p>
    <w:p w14:paraId="7EDDE5F7" w14:textId="5B347656" w:rsidR="00824D39" w:rsidRPr="00211DA3" w:rsidRDefault="00C66881" w:rsidP="00C66881">
      <w:pPr>
        <w:pStyle w:val="Blocksatz"/>
        <w:numPr>
          <w:ilvl w:val="0"/>
          <w:numId w:val="34"/>
        </w:numPr>
        <w:rPr>
          <w:bCs/>
          <w:lang w:bidi="ar-QA"/>
        </w:rPr>
      </w:pPr>
      <w:r w:rsidRPr="00211DA3">
        <w:rPr>
          <w:bCs/>
          <w:lang w:bidi="ar-QA"/>
        </w:rPr>
        <w:t xml:space="preserve">The four DC </w:t>
      </w:r>
      <w:r w:rsidR="00D209F4" w:rsidRPr="00211DA3">
        <w:rPr>
          <w:bCs/>
          <w:lang w:bidi="ar-QA"/>
        </w:rPr>
        <w:t>poles</w:t>
      </w:r>
      <w:r w:rsidR="00BF3383" w:rsidRPr="00211DA3">
        <w:rPr>
          <w:bCs/>
          <w:lang w:bidi="ar-QA"/>
        </w:rPr>
        <w:t xml:space="preserve"> </w:t>
      </w:r>
      <w:r w:rsidRPr="00211DA3">
        <w:rPr>
          <w:bCs/>
          <w:lang w:bidi="ar-QA"/>
        </w:rPr>
        <w:t>can be operated bi-pol</w:t>
      </w:r>
      <w:r w:rsidR="00BE3E8D" w:rsidRPr="00211DA3">
        <w:rPr>
          <w:bCs/>
          <w:lang w:bidi="ar-QA"/>
        </w:rPr>
        <w:t>e level</w:t>
      </w:r>
      <w:r w:rsidRPr="00211DA3">
        <w:rPr>
          <w:bCs/>
          <w:lang w:bidi="ar-QA"/>
        </w:rPr>
        <w:t xml:space="preserve"> from Erritsø.</w:t>
      </w:r>
    </w:p>
    <w:p w14:paraId="3AEA18D9" w14:textId="3907AA35" w:rsidR="00597392" w:rsidRPr="00211DA3" w:rsidRDefault="00824D39" w:rsidP="00597392">
      <w:pPr>
        <w:pStyle w:val="Blocksatz"/>
        <w:numPr>
          <w:ilvl w:val="0"/>
          <w:numId w:val="34"/>
        </w:numPr>
        <w:rPr>
          <w:bCs/>
          <w:lang w:bidi="ar-QA"/>
        </w:rPr>
      </w:pPr>
      <w:r w:rsidRPr="00211DA3">
        <w:rPr>
          <w:bCs/>
          <w:lang w:bidi="ar-QA"/>
        </w:rPr>
        <w:t>Energinet’s Control in Erritsø is only receiving group alarms.</w:t>
      </w:r>
      <w:r w:rsidR="00C66881" w:rsidRPr="00211DA3">
        <w:rPr>
          <w:bCs/>
          <w:lang w:bidi="ar-QA"/>
        </w:rPr>
        <w:t xml:space="preserve"> </w:t>
      </w:r>
      <w:r w:rsidR="00D92C55" w:rsidRPr="00211DA3">
        <w:rPr>
          <w:bCs/>
          <w:lang w:bidi="ar-QA"/>
        </w:rPr>
        <w:t xml:space="preserve"> </w:t>
      </w:r>
    </w:p>
    <w:p w14:paraId="41C8177F" w14:textId="13778CDD" w:rsidR="00597392" w:rsidRPr="00211DA3" w:rsidRDefault="00456782" w:rsidP="00597392">
      <w:pPr>
        <w:pStyle w:val="Overskrift2"/>
      </w:pPr>
      <w:bookmarkStart w:id="32" w:name="_Toc103263044"/>
      <w:bookmarkStart w:id="33" w:name="_Toc103263147"/>
      <w:bookmarkStart w:id="34" w:name="_Toc113005704"/>
      <w:r w:rsidRPr="00211DA3">
        <w:t>Outages</w:t>
      </w:r>
      <w:bookmarkEnd w:id="32"/>
      <w:bookmarkEnd w:id="33"/>
      <w:bookmarkEnd w:id="34"/>
    </w:p>
    <w:p w14:paraId="39BDAEEF" w14:textId="337EE030" w:rsidR="00597392" w:rsidRPr="00211DA3" w:rsidRDefault="00597392" w:rsidP="00597392">
      <w:pPr>
        <w:pStyle w:val="Blocksatz"/>
        <w:rPr>
          <w:bCs/>
          <w:lang w:bidi="ar-QA"/>
        </w:rPr>
      </w:pPr>
      <w:r w:rsidRPr="00211DA3">
        <w:rPr>
          <w:bCs/>
          <w:lang w:bidi="ar-QA"/>
        </w:rPr>
        <w:t xml:space="preserve">Prior to planned outages on the HVDC links, written confirmation shall be exchanged between Statnett’s Regional Centre in Oslo and Energinet’s control room at Tjele. </w:t>
      </w:r>
    </w:p>
    <w:p w14:paraId="1D7DF076" w14:textId="0E0BDC7D" w:rsidR="00120F6B" w:rsidRPr="00211DA3" w:rsidRDefault="00120F6B" w:rsidP="001D0731">
      <w:pPr>
        <w:pStyle w:val="Blocksatz"/>
        <w:rPr>
          <w:bCs/>
          <w:lang w:bidi="ar-QA"/>
        </w:rPr>
      </w:pPr>
      <w:r w:rsidRPr="00211DA3">
        <w:t xml:space="preserve">Statnett or Energinet may disconnect </w:t>
      </w:r>
      <w:r w:rsidR="001B0388" w:rsidRPr="00211DA3">
        <w:t xml:space="preserve">the link without such written confirmation, to prevent endangering </w:t>
      </w:r>
      <w:r w:rsidR="00173160" w:rsidRPr="00211DA3">
        <w:t>personnel</w:t>
      </w:r>
      <w:r w:rsidR="001B0388" w:rsidRPr="00211DA3">
        <w:t xml:space="preserve"> safety</w:t>
      </w:r>
      <w:r w:rsidR="00346C5A" w:rsidRPr="00211DA3">
        <w:t>,</w:t>
      </w:r>
      <w:r w:rsidR="001B0388" w:rsidRPr="00211DA3">
        <w:t xml:space="preserve"> d</w:t>
      </w:r>
      <w:r w:rsidR="00723F16" w:rsidRPr="00211DA3">
        <w:t>a</w:t>
      </w:r>
      <w:r w:rsidR="001B0388" w:rsidRPr="00211DA3">
        <w:t>maging equipment</w:t>
      </w:r>
      <w:r w:rsidR="00346C5A" w:rsidRPr="00211DA3">
        <w:t xml:space="preserve"> or </w:t>
      </w:r>
      <w:r w:rsidR="00144A8C" w:rsidRPr="00211DA3">
        <w:t>to ensure system operation in emergency state, according to Article 14 of the Network Code Emergence &amp; Restoration.</w:t>
      </w:r>
    </w:p>
    <w:p w14:paraId="64F12DB3" w14:textId="4F567E3D" w:rsidR="00597392" w:rsidRPr="00597392" w:rsidRDefault="00597392" w:rsidP="00597392">
      <w:pPr>
        <w:pStyle w:val="Overskrift2"/>
      </w:pPr>
      <w:bookmarkStart w:id="35" w:name="_Toc54867979"/>
      <w:bookmarkStart w:id="36" w:name="_Toc103263045"/>
      <w:bookmarkStart w:id="37" w:name="_Toc103263148"/>
      <w:bookmarkStart w:id="38" w:name="_Toc113005705"/>
      <w:r w:rsidRPr="00597392">
        <w:lastRenderedPageBreak/>
        <w:t>Disturbance management</w:t>
      </w:r>
      <w:bookmarkEnd w:id="35"/>
      <w:bookmarkEnd w:id="36"/>
      <w:bookmarkEnd w:id="37"/>
      <w:bookmarkEnd w:id="38"/>
    </w:p>
    <w:p w14:paraId="3F0283D4" w14:textId="77777777" w:rsidR="00597392" w:rsidRPr="00211DA3" w:rsidRDefault="00597392" w:rsidP="00597392">
      <w:pPr>
        <w:pStyle w:val="Blocksatz"/>
        <w:rPr>
          <w:bCs/>
          <w:lang w:bidi="ar-QA"/>
        </w:rPr>
      </w:pPr>
      <w:r w:rsidRPr="00211DA3">
        <w:rPr>
          <w:bCs/>
          <w:lang w:bidi="ar-QA"/>
        </w:rPr>
        <w:t>Faults entailing the disconnection of links are managed via consultation in accordance with internal instructions. For fault localization and clearance, there is a special preparedness plan for submarine cables.</w:t>
      </w:r>
    </w:p>
    <w:p w14:paraId="5E88393A" w14:textId="77777777" w:rsidR="00597392" w:rsidRPr="00211DA3" w:rsidRDefault="00597392" w:rsidP="00597392">
      <w:pPr>
        <w:pStyle w:val="Blocksatz"/>
        <w:rPr>
          <w:bCs/>
          <w:lang w:bidi="ar-QA"/>
        </w:rPr>
      </w:pPr>
    </w:p>
    <w:p w14:paraId="2B083E6A" w14:textId="5176C250" w:rsidR="00597392" w:rsidRPr="00211DA3" w:rsidRDefault="00597392" w:rsidP="00597392">
      <w:pPr>
        <w:pStyle w:val="Overskrift1"/>
      </w:pPr>
      <w:bookmarkStart w:id="39" w:name="_Toc54867980"/>
      <w:bookmarkStart w:id="40" w:name="_Toc103263149"/>
      <w:bookmarkStart w:id="41" w:name="_Toc113005706"/>
      <w:r w:rsidRPr="00211DA3">
        <w:t>System operation for facilities under 2</w:t>
      </w:r>
      <w:bookmarkEnd w:id="39"/>
      <w:bookmarkEnd w:id="40"/>
      <w:bookmarkEnd w:id="41"/>
    </w:p>
    <w:p w14:paraId="54D47A00" w14:textId="57FE80B9" w:rsidR="00597392" w:rsidRPr="00211DA3" w:rsidRDefault="00582FC6" w:rsidP="00597392">
      <w:pPr>
        <w:pStyle w:val="Overskrift2"/>
      </w:pPr>
      <w:bookmarkStart w:id="42" w:name="_Toc103263046"/>
      <w:bookmarkStart w:id="43" w:name="_Toc103263150"/>
      <w:bookmarkStart w:id="44" w:name="_Toc113005707"/>
      <w:r w:rsidRPr="00211DA3">
        <w:rPr>
          <w:bCs/>
        </w:rPr>
        <w:t>Total Transmission Capacity</w:t>
      </w:r>
      <w:bookmarkEnd w:id="42"/>
      <w:bookmarkEnd w:id="43"/>
      <w:bookmarkEnd w:id="44"/>
    </w:p>
    <w:p w14:paraId="58D94769" w14:textId="492EE2E7" w:rsidR="00597392" w:rsidRPr="00211DA3" w:rsidRDefault="00597392" w:rsidP="00597392">
      <w:pPr>
        <w:pStyle w:val="Blocksatz"/>
        <w:rPr>
          <w:bCs/>
          <w:lang w:bidi="ar-QA"/>
        </w:rPr>
      </w:pPr>
      <w:r w:rsidRPr="00211DA3">
        <w:rPr>
          <w:bCs/>
          <w:lang w:bidi="ar-QA"/>
        </w:rPr>
        <w:t xml:space="preserve">The transmission capacity of the links is dependent on the temperature of the air, cable runway and earth. </w:t>
      </w:r>
    </w:p>
    <w:p w14:paraId="22956B7A" w14:textId="77777777" w:rsidR="00597392" w:rsidRPr="00211DA3" w:rsidRDefault="00597392" w:rsidP="00597392">
      <w:pPr>
        <w:pStyle w:val="Blocksatz"/>
        <w:rPr>
          <w:bCs/>
          <w:lang w:bidi="ar-QA"/>
        </w:rPr>
      </w:pPr>
    </w:p>
    <w:p w14:paraId="5948E31D" w14:textId="2B5A2F14" w:rsidR="00597392" w:rsidRPr="00211DA3" w:rsidRDefault="00597392" w:rsidP="00597392">
      <w:pPr>
        <w:pStyle w:val="Blocksatz"/>
        <w:rPr>
          <w:bCs/>
          <w:lang w:bidi="ar-QA"/>
        </w:rPr>
      </w:pPr>
      <w:r w:rsidRPr="00211DA3">
        <w:rPr>
          <w:bCs/>
          <w:lang w:bidi="ar-QA"/>
        </w:rPr>
        <w:t xml:space="preserve">SK1, SK2: </w:t>
      </w:r>
      <w:r w:rsidRPr="00211DA3">
        <w:rPr>
          <w:bCs/>
          <w:lang w:bidi="ar-QA"/>
        </w:rPr>
        <w:tab/>
      </w:r>
      <w:r w:rsidR="0068527A" w:rsidRPr="00211DA3">
        <w:rPr>
          <w:bCs/>
          <w:lang w:bidi="ar-QA"/>
        </w:rPr>
        <w:tab/>
      </w:r>
      <w:r w:rsidRPr="00211DA3">
        <w:rPr>
          <w:bCs/>
          <w:lang w:bidi="ar-QA"/>
        </w:rPr>
        <w:t>Technical min. 1</w:t>
      </w:r>
      <w:r w:rsidR="00BC39A8">
        <w:rPr>
          <w:bCs/>
          <w:lang w:bidi="ar-QA"/>
        </w:rPr>
        <w:t>2,5</w:t>
      </w:r>
      <w:r w:rsidRPr="00211DA3">
        <w:rPr>
          <w:bCs/>
          <w:lang w:bidi="ar-QA"/>
        </w:rPr>
        <w:t xml:space="preserve"> MW/pole</w:t>
      </w:r>
      <w:r w:rsidRPr="00211DA3">
        <w:rPr>
          <w:bCs/>
          <w:lang w:bidi="ar-QA"/>
        </w:rPr>
        <w:tab/>
      </w:r>
      <w:r w:rsidR="0068527A" w:rsidRPr="00211DA3">
        <w:rPr>
          <w:bCs/>
          <w:lang w:bidi="ar-QA"/>
        </w:rPr>
        <w:tab/>
      </w:r>
      <w:r w:rsidR="0068527A" w:rsidRPr="00211DA3">
        <w:rPr>
          <w:bCs/>
          <w:lang w:bidi="ar-QA"/>
        </w:rPr>
        <w:tab/>
      </w:r>
      <w:r w:rsidRPr="00211DA3">
        <w:rPr>
          <w:bCs/>
          <w:lang w:bidi="ar-QA"/>
        </w:rPr>
        <w:t xml:space="preserve">Nominal </w:t>
      </w:r>
      <w:r w:rsidR="000917A3" w:rsidRPr="00211DA3">
        <w:rPr>
          <w:bCs/>
          <w:lang w:bidi="ar-QA"/>
        </w:rPr>
        <w:t>5</w:t>
      </w:r>
      <w:r w:rsidR="00D925C9">
        <w:rPr>
          <w:bCs/>
          <w:lang w:bidi="ar-QA"/>
        </w:rPr>
        <w:t>0</w:t>
      </w:r>
      <w:r w:rsidR="000917A3" w:rsidRPr="00211DA3">
        <w:rPr>
          <w:bCs/>
          <w:lang w:bidi="ar-QA"/>
        </w:rPr>
        <w:t>0</w:t>
      </w:r>
      <w:r w:rsidRPr="00211DA3">
        <w:rPr>
          <w:bCs/>
          <w:lang w:bidi="ar-QA"/>
        </w:rPr>
        <w:t xml:space="preserve"> MW</w:t>
      </w:r>
    </w:p>
    <w:p w14:paraId="5C3DA76D" w14:textId="5829FD9E" w:rsidR="00597392" w:rsidRPr="00211DA3" w:rsidRDefault="00597392" w:rsidP="00597392">
      <w:pPr>
        <w:pStyle w:val="Blocksatz"/>
        <w:rPr>
          <w:bCs/>
          <w:lang w:bidi="ar-QA"/>
        </w:rPr>
      </w:pPr>
      <w:r w:rsidRPr="00211DA3">
        <w:rPr>
          <w:bCs/>
          <w:lang w:bidi="ar-QA"/>
        </w:rPr>
        <w:t>SK3:</w:t>
      </w:r>
      <w:r w:rsidRPr="00211DA3">
        <w:rPr>
          <w:bCs/>
          <w:lang w:bidi="ar-QA"/>
        </w:rPr>
        <w:tab/>
      </w:r>
      <w:r w:rsidR="0068527A" w:rsidRPr="00211DA3">
        <w:rPr>
          <w:bCs/>
          <w:lang w:bidi="ar-QA"/>
        </w:rPr>
        <w:tab/>
      </w:r>
      <w:r w:rsidR="0068527A" w:rsidRPr="00211DA3">
        <w:rPr>
          <w:bCs/>
          <w:lang w:bidi="ar-QA"/>
        </w:rPr>
        <w:tab/>
      </w:r>
      <w:r w:rsidR="0068527A" w:rsidRPr="00211DA3">
        <w:rPr>
          <w:bCs/>
          <w:lang w:bidi="ar-QA"/>
        </w:rPr>
        <w:tab/>
      </w:r>
      <w:r w:rsidRPr="00211DA3">
        <w:rPr>
          <w:bCs/>
          <w:lang w:bidi="ar-QA"/>
        </w:rPr>
        <w:t>Technical min. 13 MW</w:t>
      </w:r>
      <w:r w:rsidRPr="00211DA3">
        <w:rPr>
          <w:bCs/>
          <w:lang w:bidi="ar-QA"/>
        </w:rPr>
        <w:tab/>
      </w:r>
      <w:r w:rsidRPr="00211DA3">
        <w:rPr>
          <w:bCs/>
          <w:lang w:bidi="ar-QA"/>
        </w:rPr>
        <w:tab/>
      </w:r>
      <w:r w:rsidR="0068527A" w:rsidRPr="00211DA3">
        <w:rPr>
          <w:bCs/>
          <w:lang w:bidi="ar-QA"/>
        </w:rPr>
        <w:tab/>
      </w:r>
      <w:r w:rsidR="0068527A" w:rsidRPr="00211DA3">
        <w:rPr>
          <w:bCs/>
          <w:lang w:bidi="ar-QA"/>
        </w:rPr>
        <w:tab/>
      </w:r>
      <w:r w:rsidR="0068527A" w:rsidRPr="00211DA3">
        <w:rPr>
          <w:bCs/>
          <w:lang w:bidi="ar-QA"/>
        </w:rPr>
        <w:tab/>
      </w:r>
      <w:r w:rsidRPr="00211DA3">
        <w:rPr>
          <w:bCs/>
          <w:lang w:bidi="ar-QA"/>
        </w:rPr>
        <w:t>Nominal 500 MW</w:t>
      </w:r>
    </w:p>
    <w:p w14:paraId="444CDCE9" w14:textId="5A57DBC5" w:rsidR="00597392" w:rsidRPr="00211DA3" w:rsidRDefault="00597392" w:rsidP="00597392">
      <w:pPr>
        <w:pStyle w:val="Blocksatz"/>
        <w:rPr>
          <w:bCs/>
          <w:lang w:bidi="ar-QA"/>
        </w:rPr>
      </w:pPr>
      <w:r w:rsidRPr="00211DA3">
        <w:rPr>
          <w:bCs/>
          <w:lang w:bidi="ar-QA"/>
        </w:rPr>
        <w:t>SK4:</w:t>
      </w:r>
      <w:r w:rsidRPr="00211DA3">
        <w:rPr>
          <w:bCs/>
          <w:lang w:bidi="ar-QA"/>
        </w:rPr>
        <w:tab/>
      </w:r>
      <w:r w:rsidR="0068527A" w:rsidRPr="00211DA3">
        <w:rPr>
          <w:bCs/>
          <w:lang w:bidi="ar-QA"/>
        </w:rPr>
        <w:tab/>
      </w:r>
      <w:r w:rsidR="0068527A" w:rsidRPr="00211DA3">
        <w:rPr>
          <w:bCs/>
          <w:lang w:bidi="ar-QA"/>
        </w:rPr>
        <w:tab/>
      </w:r>
      <w:r w:rsidR="0068527A" w:rsidRPr="00211DA3">
        <w:rPr>
          <w:bCs/>
          <w:lang w:bidi="ar-QA"/>
        </w:rPr>
        <w:tab/>
      </w:r>
      <w:r w:rsidRPr="00211DA3">
        <w:rPr>
          <w:bCs/>
          <w:lang w:bidi="ar-QA"/>
        </w:rPr>
        <w:t>Technical min. 0 MW</w:t>
      </w:r>
      <w:r w:rsidRPr="00211DA3">
        <w:rPr>
          <w:bCs/>
          <w:lang w:bidi="ar-QA"/>
        </w:rPr>
        <w:tab/>
      </w:r>
      <w:r w:rsidRPr="00211DA3">
        <w:rPr>
          <w:bCs/>
          <w:lang w:bidi="ar-QA"/>
        </w:rPr>
        <w:tab/>
      </w:r>
      <w:r w:rsidR="0068527A" w:rsidRPr="00211DA3">
        <w:rPr>
          <w:bCs/>
          <w:lang w:bidi="ar-QA"/>
        </w:rPr>
        <w:tab/>
      </w:r>
      <w:r w:rsidR="0068527A" w:rsidRPr="00211DA3">
        <w:rPr>
          <w:bCs/>
          <w:lang w:bidi="ar-QA"/>
        </w:rPr>
        <w:tab/>
      </w:r>
      <w:r w:rsidR="0068527A" w:rsidRPr="00211DA3">
        <w:rPr>
          <w:bCs/>
          <w:lang w:bidi="ar-QA"/>
        </w:rPr>
        <w:tab/>
      </w:r>
      <w:r w:rsidR="0068527A" w:rsidRPr="00211DA3">
        <w:rPr>
          <w:bCs/>
          <w:lang w:bidi="ar-QA"/>
        </w:rPr>
        <w:tab/>
      </w:r>
      <w:r w:rsidRPr="00211DA3">
        <w:rPr>
          <w:bCs/>
          <w:lang w:bidi="ar-QA"/>
        </w:rPr>
        <w:t xml:space="preserve">Nominal </w:t>
      </w:r>
      <w:r w:rsidR="007E7AAE" w:rsidRPr="00211DA3">
        <w:rPr>
          <w:bCs/>
          <w:lang w:bidi="ar-QA"/>
        </w:rPr>
        <w:t xml:space="preserve">715 </w:t>
      </w:r>
      <w:r w:rsidRPr="00211DA3">
        <w:rPr>
          <w:bCs/>
          <w:lang w:bidi="ar-QA"/>
        </w:rPr>
        <w:t>MW</w:t>
      </w:r>
    </w:p>
    <w:p w14:paraId="53C3A817" w14:textId="77777777" w:rsidR="00597392" w:rsidRPr="00211DA3" w:rsidRDefault="00597392" w:rsidP="00597392">
      <w:pPr>
        <w:pStyle w:val="Blocksatz"/>
        <w:rPr>
          <w:bCs/>
          <w:lang w:bidi="ar-QA"/>
        </w:rPr>
      </w:pPr>
    </w:p>
    <w:p w14:paraId="6D7B567A" w14:textId="41B26474" w:rsidR="00597392" w:rsidRPr="00211DA3" w:rsidRDefault="00597392" w:rsidP="0068527A">
      <w:pPr>
        <w:pStyle w:val="Overskrift2"/>
      </w:pPr>
      <w:bookmarkStart w:id="45" w:name="_Toc54867982"/>
      <w:bookmarkStart w:id="46" w:name="_Toc103263047"/>
      <w:bookmarkStart w:id="47" w:name="_Toc103263151"/>
      <w:bookmarkStart w:id="48" w:name="_Toc113005708"/>
      <w:r w:rsidRPr="00211DA3">
        <w:t>Routines for determining the transmission capacity</w:t>
      </w:r>
      <w:bookmarkEnd w:id="45"/>
      <w:bookmarkEnd w:id="46"/>
      <w:bookmarkEnd w:id="47"/>
      <w:bookmarkEnd w:id="48"/>
    </w:p>
    <w:p w14:paraId="463B0E9B" w14:textId="73DD621B" w:rsidR="00597392" w:rsidRPr="00211DA3" w:rsidRDefault="00597392" w:rsidP="00597392">
      <w:pPr>
        <w:pStyle w:val="Blocksatz"/>
        <w:rPr>
          <w:bCs/>
          <w:lang w:bidi="ar-QA"/>
        </w:rPr>
      </w:pPr>
      <w:r w:rsidRPr="00211DA3">
        <w:rPr>
          <w:bCs/>
          <w:lang w:bidi="ar-QA"/>
        </w:rPr>
        <w:t xml:space="preserve">The transmission capacity between Western Denmark and Norway shall be jointly determined on a routine basis by the Parties. In the case of intact connecting networks, the transmission capacity will be determined by the thermal capacity of the facilities’ components. The thermal overload capability allowed by monitoring equipment shall be capable of being used as and when required in accordance with special instructions. For any limitations to the connecting AC networks, Energinet’s Control Centre at </w:t>
      </w:r>
      <w:r w:rsidR="00562CB9" w:rsidRPr="00211DA3">
        <w:rPr>
          <w:bCs/>
          <w:lang w:bidi="ar-QA"/>
        </w:rPr>
        <w:t xml:space="preserve">Erritsø </w:t>
      </w:r>
      <w:r w:rsidRPr="00211DA3">
        <w:rPr>
          <w:bCs/>
          <w:lang w:bidi="ar-QA"/>
        </w:rPr>
        <w:t>is responsible for supportive data on the Western Danish side and Statnett for the equivalent on the Norwegian side.</w:t>
      </w:r>
    </w:p>
    <w:p w14:paraId="62AC2247" w14:textId="77777777" w:rsidR="00597392" w:rsidRPr="00211DA3" w:rsidRDefault="00597392" w:rsidP="00597392">
      <w:pPr>
        <w:pStyle w:val="Blocksatz"/>
        <w:rPr>
          <w:bCs/>
          <w:lang w:bidi="ar-QA"/>
        </w:rPr>
      </w:pPr>
    </w:p>
    <w:p w14:paraId="00ABF30F" w14:textId="7FFE7BE6" w:rsidR="00597392" w:rsidRPr="00211DA3" w:rsidRDefault="00597392" w:rsidP="0068527A">
      <w:pPr>
        <w:pStyle w:val="Overskrift2"/>
      </w:pPr>
      <w:bookmarkStart w:id="49" w:name="_Toc54867983"/>
      <w:bookmarkStart w:id="50" w:name="_Toc103263048"/>
      <w:bookmarkStart w:id="51" w:name="_Toc103263152"/>
      <w:bookmarkStart w:id="52" w:name="_Toc113005709"/>
      <w:r w:rsidRPr="00211DA3">
        <w:t>Trading capacity (</w:t>
      </w:r>
      <w:r w:rsidR="00582FC6" w:rsidRPr="00211DA3">
        <w:t xml:space="preserve">Net Transmission Capacity - </w:t>
      </w:r>
      <w:r w:rsidRPr="00211DA3">
        <w:t>NTC)</w:t>
      </w:r>
      <w:bookmarkEnd w:id="49"/>
      <w:bookmarkEnd w:id="50"/>
      <w:bookmarkEnd w:id="51"/>
      <w:bookmarkEnd w:id="52"/>
    </w:p>
    <w:p w14:paraId="6F7CD90D" w14:textId="52BC64F6" w:rsidR="00597392" w:rsidRPr="00211DA3" w:rsidRDefault="00597392" w:rsidP="00597392">
      <w:pPr>
        <w:pStyle w:val="Blocksatz"/>
        <w:rPr>
          <w:bCs/>
          <w:lang w:bidi="ar-QA"/>
        </w:rPr>
      </w:pPr>
      <w:r w:rsidRPr="00211DA3">
        <w:rPr>
          <w:bCs/>
          <w:lang w:bidi="ar-QA"/>
        </w:rPr>
        <w:t>The normal trading capacity (NTC) in ”bi</w:t>
      </w:r>
      <w:r w:rsidR="00710487" w:rsidRPr="00211DA3">
        <w:rPr>
          <w:bCs/>
          <w:lang w:bidi="ar-QA"/>
        </w:rPr>
        <w:t>-</w:t>
      </w:r>
      <w:r w:rsidRPr="00211DA3">
        <w:rPr>
          <w:bCs/>
          <w:lang w:bidi="ar-QA"/>
        </w:rPr>
        <w:t>pol</w:t>
      </w:r>
      <w:r w:rsidR="00710487" w:rsidRPr="00211DA3">
        <w:rPr>
          <w:bCs/>
          <w:lang w:bidi="ar-QA"/>
        </w:rPr>
        <w:t>e</w:t>
      </w:r>
      <w:r w:rsidRPr="00211DA3">
        <w:rPr>
          <w:bCs/>
          <w:lang w:bidi="ar-QA"/>
        </w:rPr>
        <w:t xml:space="preserve"> operation”</w:t>
      </w:r>
      <w:r w:rsidR="006608EC">
        <w:rPr>
          <w:bCs/>
          <w:lang w:bidi="ar-QA"/>
        </w:rPr>
        <w:t>, in</w:t>
      </w:r>
      <w:r w:rsidR="00CB4407">
        <w:rPr>
          <w:bCs/>
          <w:lang w:bidi="ar-QA"/>
        </w:rPr>
        <w:t xml:space="preserve"> </w:t>
      </w:r>
      <w:r w:rsidR="006608EC">
        <w:rPr>
          <w:bCs/>
          <w:lang w:bidi="ar-QA"/>
        </w:rPr>
        <w:t>day</w:t>
      </w:r>
      <w:r w:rsidR="00CB4407">
        <w:rPr>
          <w:bCs/>
          <w:lang w:bidi="ar-QA"/>
        </w:rPr>
        <w:t>-ahead-market,</w:t>
      </w:r>
      <w:r w:rsidRPr="00211DA3">
        <w:rPr>
          <w:bCs/>
          <w:lang w:bidi="ar-QA"/>
        </w:rPr>
        <w:t xml:space="preserve"> is:</w:t>
      </w:r>
    </w:p>
    <w:p w14:paraId="414D3D4C" w14:textId="0956EB79" w:rsidR="00597392" w:rsidRPr="00D21EFB" w:rsidRDefault="00597392" w:rsidP="00A37110">
      <w:pPr>
        <w:pStyle w:val="Blocksatz"/>
        <w:ind w:left="284" w:firstLine="284"/>
        <w:jc w:val="left"/>
        <w:rPr>
          <w:bCs/>
          <w:lang w:val="en-US" w:bidi="ar-QA"/>
        </w:rPr>
      </w:pPr>
      <w:r w:rsidRPr="00A37110">
        <w:rPr>
          <w:bCs/>
          <w:lang w:val="en-US" w:bidi="ar-QA"/>
        </w:rPr>
        <w:t>16</w:t>
      </w:r>
      <w:r w:rsidR="008F1B4D" w:rsidRPr="00A37110">
        <w:rPr>
          <w:bCs/>
          <w:lang w:val="en-US" w:bidi="ar-QA"/>
        </w:rPr>
        <w:t>8</w:t>
      </w:r>
      <w:r w:rsidR="00966ECA" w:rsidRPr="00A37110">
        <w:rPr>
          <w:bCs/>
          <w:lang w:val="en-US" w:bidi="ar-QA"/>
        </w:rPr>
        <w:t>0</w:t>
      </w:r>
      <w:r w:rsidRPr="00A37110">
        <w:rPr>
          <w:bCs/>
          <w:lang w:val="en-US" w:bidi="ar-QA"/>
        </w:rPr>
        <w:t xml:space="preserve"> MW </w:t>
      </w:r>
      <w:r w:rsidR="00B07FAE" w:rsidRPr="00A37110">
        <w:rPr>
          <w:bCs/>
          <w:lang w:val="en-US" w:bidi="ar-QA"/>
        </w:rPr>
        <w:t xml:space="preserve">at 20°C </w:t>
      </w:r>
      <w:r w:rsidRPr="00A37110">
        <w:rPr>
          <w:bCs/>
          <w:lang w:val="en-US" w:bidi="ar-QA"/>
        </w:rPr>
        <w:t xml:space="preserve">in </w:t>
      </w:r>
      <w:r w:rsidR="003B1C51" w:rsidRPr="00A37110">
        <w:rPr>
          <w:bCs/>
          <w:lang w:val="en-US" w:bidi="ar-QA"/>
        </w:rPr>
        <w:t>market sending</w:t>
      </w:r>
      <w:r w:rsidRPr="00A37110">
        <w:rPr>
          <w:bCs/>
          <w:lang w:val="en-US" w:bidi="ar-QA"/>
        </w:rPr>
        <w:t xml:space="preserve"> end</w:t>
      </w:r>
      <w:r w:rsidR="0019381A" w:rsidRPr="00A37110">
        <w:rPr>
          <w:bCs/>
          <w:lang w:val="en-US" w:bidi="ar-QA"/>
        </w:rPr>
        <w:br/>
      </w:r>
      <w:r w:rsidR="0019381A" w:rsidRPr="00A37110">
        <w:rPr>
          <w:bCs/>
          <w:lang w:val="en-US" w:bidi="ar-QA"/>
        </w:rPr>
        <w:tab/>
        <w:t xml:space="preserve">(Market capacity is </w:t>
      </w:r>
      <w:r w:rsidR="0019381A">
        <w:rPr>
          <w:bCs/>
          <w:lang w:val="en-US" w:bidi="ar-QA"/>
        </w:rPr>
        <w:t>based on the loss factor, currently at 2,9%)</w:t>
      </w:r>
    </w:p>
    <w:p w14:paraId="5DF94A5E" w14:textId="20726F26" w:rsidR="00002711" w:rsidRDefault="00002711" w:rsidP="00597392">
      <w:pPr>
        <w:pStyle w:val="Blocksatz"/>
        <w:rPr>
          <w:bCs/>
          <w:lang w:bidi="ar-QA"/>
        </w:rPr>
      </w:pPr>
      <w:r>
        <w:rPr>
          <w:bCs/>
          <w:lang w:bidi="ar-QA"/>
        </w:rPr>
        <w:t xml:space="preserve">In the intra-day-market the </w:t>
      </w:r>
      <w:r w:rsidR="007F229E">
        <w:rPr>
          <w:bCs/>
          <w:lang w:bidi="ar-QA"/>
        </w:rPr>
        <w:t>trading capacity is:</w:t>
      </w:r>
    </w:p>
    <w:p w14:paraId="5A781E93" w14:textId="4E7BD5F6" w:rsidR="007F229E" w:rsidRDefault="007F229E" w:rsidP="00597392">
      <w:pPr>
        <w:pStyle w:val="Blocksatz"/>
        <w:rPr>
          <w:bCs/>
          <w:lang w:bidi="ar-QA"/>
        </w:rPr>
      </w:pPr>
      <w:r>
        <w:rPr>
          <w:bCs/>
          <w:lang w:bidi="ar-QA"/>
        </w:rPr>
        <w:tab/>
      </w:r>
      <w:r>
        <w:rPr>
          <w:bCs/>
          <w:lang w:bidi="ar-QA"/>
        </w:rPr>
        <w:tab/>
        <w:t>1632 MW at 20°C</w:t>
      </w:r>
      <w:r w:rsidR="008B21BA">
        <w:rPr>
          <w:bCs/>
          <w:lang w:bidi="ar-QA"/>
        </w:rPr>
        <w:t xml:space="preserve"> in receiving end</w:t>
      </w:r>
    </w:p>
    <w:p w14:paraId="5985C883" w14:textId="7960018D" w:rsidR="00597392" w:rsidRPr="00211DA3" w:rsidRDefault="006D67C9" w:rsidP="00597392">
      <w:pPr>
        <w:pStyle w:val="Blocksatz"/>
        <w:rPr>
          <w:bCs/>
          <w:lang w:bidi="ar-QA"/>
        </w:rPr>
      </w:pPr>
      <w:r w:rsidRPr="00211DA3">
        <w:rPr>
          <w:bCs/>
          <w:lang w:bidi="ar-QA"/>
        </w:rPr>
        <w:t>The trading capacity may also be restricted based on specific operational conditions in the AC grid on either side of the link</w:t>
      </w:r>
      <w:r w:rsidR="002770CC">
        <w:rPr>
          <w:bCs/>
          <w:lang w:bidi="ar-QA"/>
        </w:rPr>
        <w:t xml:space="preserve"> or in the DC link itself</w:t>
      </w:r>
      <w:r w:rsidRPr="00211DA3">
        <w:rPr>
          <w:bCs/>
          <w:lang w:bidi="ar-QA"/>
        </w:rPr>
        <w:t xml:space="preserve">. </w:t>
      </w:r>
      <w:r w:rsidR="00597392" w:rsidRPr="00211DA3">
        <w:rPr>
          <w:bCs/>
          <w:lang w:bidi="ar-QA"/>
        </w:rPr>
        <w:t xml:space="preserve">The following calendar day’s trading capacity is decided each day. </w:t>
      </w:r>
      <w:r w:rsidR="009802B3">
        <w:rPr>
          <w:bCs/>
          <w:lang w:bidi="ar-QA"/>
        </w:rPr>
        <w:t>Scheduled l</w:t>
      </w:r>
      <w:r w:rsidR="00597392" w:rsidRPr="00211DA3">
        <w:rPr>
          <w:bCs/>
          <w:lang w:bidi="ar-QA"/>
        </w:rPr>
        <w:t xml:space="preserve">osses </w:t>
      </w:r>
      <w:r w:rsidR="00C619D8">
        <w:rPr>
          <w:bCs/>
          <w:lang w:bidi="ar-QA"/>
        </w:rPr>
        <w:t xml:space="preserve">is calculated in the market </w:t>
      </w:r>
      <w:r w:rsidR="009802B3">
        <w:rPr>
          <w:bCs/>
          <w:lang w:bidi="ar-QA"/>
        </w:rPr>
        <w:t xml:space="preserve">(losses covered by </w:t>
      </w:r>
      <w:r w:rsidR="002219A7">
        <w:rPr>
          <w:bCs/>
          <w:lang w:bidi="ar-QA"/>
        </w:rPr>
        <w:t>m</w:t>
      </w:r>
      <w:r w:rsidR="009802B3">
        <w:rPr>
          <w:bCs/>
          <w:lang w:bidi="ar-QA"/>
        </w:rPr>
        <w:t>arket)</w:t>
      </w:r>
      <w:r w:rsidR="002219A7">
        <w:rPr>
          <w:bCs/>
          <w:lang w:bidi="ar-QA"/>
        </w:rPr>
        <w:t>,</w:t>
      </w:r>
      <w:r w:rsidR="00EA63F7">
        <w:rPr>
          <w:bCs/>
          <w:lang w:bidi="ar-QA"/>
        </w:rPr>
        <w:t xml:space="preserve"> the </w:t>
      </w:r>
      <w:r w:rsidR="00EA63F7">
        <w:rPr>
          <w:bCs/>
          <w:lang w:bidi="ar-QA"/>
        </w:rPr>
        <w:lastRenderedPageBreak/>
        <w:t xml:space="preserve">difference between the </w:t>
      </w:r>
      <w:r w:rsidR="00F21C8C">
        <w:rPr>
          <w:bCs/>
          <w:lang w:bidi="ar-QA"/>
        </w:rPr>
        <w:t>measured</w:t>
      </w:r>
      <w:r w:rsidR="00EA63F7">
        <w:rPr>
          <w:bCs/>
          <w:lang w:bidi="ar-QA"/>
        </w:rPr>
        <w:t xml:space="preserve"> losses and the </w:t>
      </w:r>
      <w:r w:rsidR="002219A7">
        <w:rPr>
          <w:bCs/>
          <w:lang w:bidi="ar-QA"/>
        </w:rPr>
        <w:t>scheduled</w:t>
      </w:r>
      <w:r w:rsidR="00EA63F7">
        <w:rPr>
          <w:bCs/>
          <w:lang w:bidi="ar-QA"/>
        </w:rPr>
        <w:t xml:space="preserve"> losses will be </w:t>
      </w:r>
      <w:r w:rsidR="005D1A39">
        <w:rPr>
          <w:bCs/>
          <w:lang w:bidi="ar-QA"/>
        </w:rPr>
        <w:t>handled</w:t>
      </w:r>
      <w:r w:rsidR="00D07D1A">
        <w:rPr>
          <w:bCs/>
          <w:lang w:bidi="ar-QA"/>
        </w:rPr>
        <w:t xml:space="preserve"> in the sending end </w:t>
      </w:r>
    </w:p>
    <w:p w14:paraId="6EC1D3AC" w14:textId="77777777" w:rsidR="0068527A" w:rsidRPr="00211DA3" w:rsidRDefault="0068527A" w:rsidP="0068527A">
      <w:pPr>
        <w:pStyle w:val="Blocksatz"/>
        <w:rPr>
          <w:bCs/>
          <w:lang w:bidi="ar-QA"/>
        </w:rPr>
      </w:pPr>
      <w:r w:rsidRPr="00211DA3">
        <w:rPr>
          <w:bCs/>
          <w:lang w:bidi="ar-QA"/>
        </w:rPr>
        <w:t>Both Parties inform the other Party in good time prior to the relevant calendar day about the transmission capacity seen from each respective side. The values that are the lowest will form the basis for determining the trading capacity.</w:t>
      </w:r>
    </w:p>
    <w:p w14:paraId="1CE258DC" w14:textId="77777777" w:rsidR="0068527A" w:rsidRPr="0068527A" w:rsidRDefault="0068527A" w:rsidP="0068527A">
      <w:pPr>
        <w:pStyle w:val="Blocksatz"/>
        <w:rPr>
          <w:bCs/>
          <w:lang w:bidi="ar-QA"/>
        </w:rPr>
      </w:pPr>
    </w:p>
    <w:p w14:paraId="3277AEA3" w14:textId="6C717C1D" w:rsidR="0068527A" w:rsidRPr="0068527A" w:rsidRDefault="0068527A" w:rsidP="0068527A">
      <w:pPr>
        <w:pStyle w:val="Overskrift2"/>
      </w:pPr>
      <w:bookmarkStart w:id="53" w:name="_Toc54867984"/>
      <w:bookmarkStart w:id="54" w:name="_Toc103263049"/>
      <w:bookmarkStart w:id="55" w:name="_Toc103263153"/>
      <w:bookmarkStart w:id="56" w:name="_Toc113005710"/>
      <w:r w:rsidRPr="0068527A">
        <w:t>Operation monitoring and control in respect of system operation</w:t>
      </w:r>
      <w:bookmarkEnd w:id="53"/>
      <w:bookmarkEnd w:id="54"/>
      <w:bookmarkEnd w:id="55"/>
      <w:bookmarkEnd w:id="56"/>
    </w:p>
    <w:p w14:paraId="1A60364E" w14:textId="77777777" w:rsidR="00C93DB4" w:rsidRPr="00E20C79" w:rsidRDefault="00C93DB4" w:rsidP="00C93DB4">
      <w:pPr>
        <w:pStyle w:val="Blocksatz"/>
        <w:rPr>
          <w:bCs/>
          <w:lang w:bidi="ar-QA"/>
        </w:rPr>
      </w:pPr>
      <w:r w:rsidRPr="00E20C79">
        <w:rPr>
          <w:bCs/>
          <w:lang w:bidi="ar-QA"/>
        </w:rPr>
        <w:t>Operation monitoring and control is carried out from:</w:t>
      </w:r>
    </w:p>
    <w:p w14:paraId="78100E52" w14:textId="77777777" w:rsidR="00C93DB4" w:rsidRPr="00E20C79" w:rsidRDefault="00C93DB4" w:rsidP="00C93DB4">
      <w:pPr>
        <w:pStyle w:val="Blocksatz"/>
        <w:numPr>
          <w:ilvl w:val="0"/>
          <w:numId w:val="34"/>
        </w:numPr>
        <w:jc w:val="left"/>
        <w:rPr>
          <w:bCs/>
          <w:lang w:bidi="ar-QA"/>
        </w:rPr>
      </w:pPr>
      <w:r w:rsidRPr="00E20C79">
        <w:rPr>
          <w:bCs/>
          <w:lang w:bidi="ar-QA"/>
        </w:rPr>
        <w:t>Energinet’s Control Centres at Erritsø or Tjele.</w:t>
      </w:r>
      <w:r w:rsidRPr="00E20C79">
        <w:rPr>
          <w:bCs/>
          <w:lang w:bidi="ar-QA"/>
        </w:rPr>
        <w:br/>
        <w:t>Statnett’s Regional Control Centre in Oslo.</w:t>
      </w:r>
    </w:p>
    <w:p w14:paraId="1B0264A4" w14:textId="77777777" w:rsidR="00C93DB4" w:rsidRPr="00E20C79" w:rsidRDefault="00C93DB4" w:rsidP="00C93DB4">
      <w:pPr>
        <w:pStyle w:val="Blocksatz"/>
        <w:numPr>
          <w:ilvl w:val="0"/>
          <w:numId w:val="34"/>
        </w:numPr>
        <w:rPr>
          <w:bCs/>
          <w:lang w:bidi="ar-QA"/>
        </w:rPr>
      </w:pPr>
      <w:r w:rsidRPr="00E20C79">
        <w:rPr>
          <w:bCs/>
          <w:lang w:bidi="ar-QA"/>
        </w:rPr>
        <w:t>The four DC poles can be operated individually from Statnett’s Control Centre in Oslo and from Energinet’s Control Centre in Tjele.</w:t>
      </w:r>
    </w:p>
    <w:p w14:paraId="45DB9D01" w14:textId="77777777" w:rsidR="00C93DB4" w:rsidRPr="00E20C79" w:rsidRDefault="00C93DB4" w:rsidP="00C93DB4">
      <w:pPr>
        <w:pStyle w:val="Blocksatz"/>
        <w:numPr>
          <w:ilvl w:val="0"/>
          <w:numId w:val="34"/>
        </w:numPr>
        <w:rPr>
          <w:bCs/>
          <w:lang w:bidi="ar-QA"/>
        </w:rPr>
      </w:pPr>
      <w:r w:rsidRPr="00E20C79">
        <w:rPr>
          <w:bCs/>
          <w:lang w:bidi="ar-QA"/>
        </w:rPr>
        <w:t>The four DC poles can be operated bi-pole level from Erritsø.</w:t>
      </w:r>
    </w:p>
    <w:p w14:paraId="0C0B3D40" w14:textId="63B032E5" w:rsidR="0068527A" w:rsidRPr="00E20C79" w:rsidRDefault="00C93DB4" w:rsidP="0068527A">
      <w:pPr>
        <w:pStyle w:val="Blocksatz"/>
        <w:numPr>
          <w:ilvl w:val="0"/>
          <w:numId w:val="34"/>
        </w:numPr>
        <w:rPr>
          <w:bCs/>
          <w:lang w:bidi="ar-QA"/>
        </w:rPr>
      </w:pPr>
      <w:r w:rsidRPr="00E20C79">
        <w:rPr>
          <w:bCs/>
          <w:lang w:bidi="ar-QA"/>
        </w:rPr>
        <w:t xml:space="preserve">Energinet’s Control in Erritsø is only receiving group alarms.  </w:t>
      </w:r>
    </w:p>
    <w:p w14:paraId="26397CDE" w14:textId="67AD7AE4" w:rsidR="0068527A" w:rsidRPr="00E20C79" w:rsidRDefault="0068527A" w:rsidP="0068527A">
      <w:pPr>
        <w:pStyle w:val="Overskrift3"/>
      </w:pPr>
      <w:bookmarkStart w:id="57" w:name="_Toc54867985"/>
      <w:bookmarkStart w:id="58" w:name="_Toc103263050"/>
      <w:bookmarkStart w:id="59" w:name="_Toc103263154"/>
      <w:bookmarkStart w:id="60" w:name="_Toc113005711"/>
      <w:r w:rsidRPr="00E20C79">
        <w:t>The power flow and distribution between the DC links</w:t>
      </w:r>
      <w:bookmarkEnd w:id="57"/>
      <w:bookmarkEnd w:id="58"/>
      <w:bookmarkEnd w:id="59"/>
      <w:bookmarkEnd w:id="60"/>
    </w:p>
    <w:p w14:paraId="06782878" w14:textId="77777777" w:rsidR="0068527A" w:rsidRPr="00E20C79" w:rsidRDefault="0068527A" w:rsidP="0068527A">
      <w:pPr>
        <w:pStyle w:val="Blocksatz"/>
        <w:rPr>
          <w:bCs/>
          <w:lang w:bidi="ar-QA"/>
        </w:rPr>
      </w:pPr>
      <w:r w:rsidRPr="00E20C79">
        <w:rPr>
          <w:bCs/>
          <w:lang w:bidi="ar-QA"/>
        </w:rPr>
        <w:t>The distribution of the power flow between the poles shall be determined on a routine basis by the Parties taking into account the minimum electrode currents, loss minimization or other technical circumstances in the poles or on the transmission networks on each respective side.</w:t>
      </w:r>
    </w:p>
    <w:p w14:paraId="246206F9" w14:textId="77777777" w:rsidR="0068527A" w:rsidRPr="00E20C79" w:rsidRDefault="0068527A" w:rsidP="0068527A">
      <w:pPr>
        <w:pStyle w:val="Blocksatz"/>
        <w:rPr>
          <w:bCs/>
          <w:lang w:bidi="ar-QA"/>
        </w:rPr>
      </w:pPr>
      <w:r w:rsidRPr="00E20C79">
        <w:rPr>
          <w:bCs/>
          <w:lang w:bidi="ar-QA"/>
        </w:rPr>
        <w:t>The distribution of power flow between the DC links is described in the agreement for SK1-4.</w:t>
      </w:r>
    </w:p>
    <w:p w14:paraId="5FB24291" w14:textId="77777777" w:rsidR="0068527A" w:rsidRPr="00E20C79" w:rsidRDefault="0068527A" w:rsidP="0068527A">
      <w:pPr>
        <w:pStyle w:val="Blocksatz"/>
        <w:rPr>
          <w:bCs/>
          <w:lang w:bidi="ar-QA"/>
        </w:rPr>
      </w:pPr>
    </w:p>
    <w:p w14:paraId="14FC0842" w14:textId="01F10273" w:rsidR="0068527A" w:rsidRPr="00E20C79" w:rsidRDefault="002D01D7" w:rsidP="0068527A">
      <w:pPr>
        <w:pStyle w:val="Overskrift3"/>
      </w:pPr>
      <w:bookmarkStart w:id="61" w:name="_Toc54867986"/>
      <w:bookmarkStart w:id="62" w:name="_Toc103263051"/>
      <w:bookmarkStart w:id="63" w:name="_Toc103263155"/>
      <w:bookmarkStart w:id="64" w:name="_Toc113005712"/>
      <w:r w:rsidRPr="00E20C79">
        <w:t>Control</w:t>
      </w:r>
      <w:r w:rsidR="00DE6CF0" w:rsidRPr="00E20C79">
        <w:t xml:space="preserve"> of</w:t>
      </w:r>
      <w:r w:rsidRPr="00E20C79">
        <w:t xml:space="preserve"> </w:t>
      </w:r>
      <w:r w:rsidR="0068527A" w:rsidRPr="00E20C79">
        <w:t>the link</w:t>
      </w:r>
      <w:bookmarkEnd w:id="61"/>
      <w:bookmarkEnd w:id="62"/>
      <w:bookmarkEnd w:id="63"/>
      <w:bookmarkEnd w:id="64"/>
    </w:p>
    <w:p w14:paraId="23D57A49" w14:textId="2412038F" w:rsidR="0068527A" w:rsidRPr="00E20C79" w:rsidRDefault="002D01D7" w:rsidP="0068527A">
      <w:pPr>
        <w:pStyle w:val="Blocksatz"/>
        <w:rPr>
          <w:bCs/>
          <w:lang w:bidi="ar-QA"/>
        </w:rPr>
      </w:pPr>
      <w:r w:rsidRPr="00E20C79">
        <w:rPr>
          <w:bCs/>
          <w:lang w:bidi="ar-QA"/>
        </w:rPr>
        <w:t xml:space="preserve">Control </w:t>
      </w:r>
      <w:r w:rsidR="0068527A" w:rsidRPr="00E20C79">
        <w:rPr>
          <w:bCs/>
          <w:lang w:bidi="ar-QA"/>
        </w:rPr>
        <w:t xml:space="preserve">of the Skagerrak link in accordance with agreed exchange plans will be carried out by Statnett and Energinet alternating each </w:t>
      </w:r>
      <w:r w:rsidR="00DD67EC">
        <w:rPr>
          <w:bCs/>
          <w:lang w:bidi="ar-QA"/>
        </w:rPr>
        <w:t>month</w:t>
      </w:r>
      <w:r w:rsidR="0068527A" w:rsidRPr="00E20C79">
        <w:rPr>
          <w:bCs/>
          <w:lang w:bidi="ar-QA"/>
        </w:rPr>
        <w:t>.</w:t>
      </w:r>
    </w:p>
    <w:p w14:paraId="4FC0FFBC" w14:textId="5545BB55" w:rsidR="0068527A" w:rsidRPr="00E20C79" w:rsidRDefault="0068527A" w:rsidP="0068527A">
      <w:pPr>
        <w:pStyle w:val="Blocksatz"/>
        <w:rPr>
          <w:bCs/>
          <w:lang w:bidi="ar-QA"/>
        </w:rPr>
      </w:pPr>
      <w:r w:rsidRPr="00E20C79">
        <w:rPr>
          <w:bCs/>
          <w:lang w:bidi="ar-QA"/>
        </w:rPr>
        <w:t xml:space="preserve">The plans are issued as power plans in whole MW for each 5 minutes. The link is </w:t>
      </w:r>
      <w:r w:rsidR="007B1405" w:rsidRPr="00E20C79">
        <w:rPr>
          <w:bCs/>
          <w:lang w:bidi="ar-QA"/>
        </w:rPr>
        <w:t>controlled</w:t>
      </w:r>
      <w:r w:rsidR="00DE6CF0" w:rsidRPr="00E20C79">
        <w:rPr>
          <w:bCs/>
          <w:lang w:bidi="ar-QA"/>
        </w:rPr>
        <w:t xml:space="preserve"> </w:t>
      </w:r>
      <w:r w:rsidRPr="00E20C79">
        <w:rPr>
          <w:bCs/>
          <w:lang w:bidi="ar-QA"/>
        </w:rPr>
        <w:t>in accordance with this power linearly from power value to power value.</w:t>
      </w:r>
    </w:p>
    <w:p w14:paraId="6DF5BADF" w14:textId="796EF68A" w:rsidR="0068527A" w:rsidRPr="00E20C79" w:rsidRDefault="0068527A" w:rsidP="0068527A">
      <w:pPr>
        <w:pStyle w:val="Blocksatz"/>
        <w:rPr>
          <w:bCs/>
          <w:lang w:bidi="ar-QA"/>
        </w:rPr>
      </w:pPr>
      <w:r w:rsidRPr="00E20C79">
        <w:rPr>
          <w:bCs/>
          <w:lang w:bidi="ar-QA"/>
        </w:rPr>
        <w:t>The power plan is determined in accordance with the energy and power plan agreements forming the basis for utilizing the Skagerrak link.</w:t>
      </w:r>
    </w:p>
    <w:p w14:paraId="2F0AB76A" w14:textId="77777777" w:rsidR="009A79F8" w:rsidRPr="00E20C79" w:rsidRDefault="009A79F8" w:rsidP="009A79F8">
      <w:pPr>
        <w:pStyle w:val="Blocksatz"/>
        <w:rPr>
          <w:bCs/>
          <w:lang w:bidi="ar-QA"/>
        </w:rPr>
      </w:pPr>
      <w:r w:rsidRPr="00E20C79">
        <w:rPr>
          <w:bCs/>
          <w:lang w:bidi="ar-QA"/>
        </w:rPr>
        <w:t>Planned power regulation during the operational phase is set at max. 30 MW/min in planning phase.</w:t>
      </w:r>
    </w:p>
    <w:p w14:paraId="0EE6C675" w14:textId="569DEDD2" w:rsidR="00597392" w:rsidRPr="00E20C79" w:rsidRDefault="00597392" w:rsidP="001D0731">
      <w:pPr>
        <w:pStyle w:val="Blocksatz"/>
        <w:rPr>
          <w:bCs/>
          <w:lang w:bidi="ar-QA"/>
        </w:rPr>
      </w:pPr>
    </w:p>
    <w:p w14:paraId="7DF8E402" w14:textId="00CFC539" w:rsidR="0068527A" w:rsidRPr="00E20C79" w:rsidRDefault="0068527A" w:rsidP="0068527A">
      <w:pPr>
        <w:pStyle w:val="Overskrift2"/>
      </w:pPr>
      <w:bookmarkStart w:id="65" w:name="_Toc54867987"/>
      <w:bookmarkStart w:id="66" w:name="_Toc103263052"/>
      <w:bookmarkStart w:id="67" w:name="_Toc103263156"/>
      <w:bookmarkStart w:id="68" w:name="_Toc113005713"/>
      <w:r w:rsidRPr="00E20C79">
        <w:t>Outage planning</w:t>
      </w:r>
      <w:bookmarkEnd w:id="65"/>
      <w:bookmarkEnd w:id="66"/>
      <w:bookmarkEnd w:id="67"/>
      <w:bookmarkEnd w:id="68"/>
    </w:p>
    <w:p w14:paraId="2A575B74" w14:textId="77777777" w:rsidR="0068527A" w:rsidRPr="00E20C79" w:rsidRDefault="0068527A" w:rsidP="0068527A">
      <w:pPr>
        <w:pStyle w:val="Blocksatz"/>
        <w:rPr>
          <w:bCs/>
          <w:lang w:bidi="ar-QA"/>
        </w:rPr>
      </w:pPr>
      <w:r w:rsidRPr="00E20C79">
        <w:rPr>
          <w:bCs/>
          <w:lang w:bidi="ar-QA"/>
        </w:rPr>
        <w:t>Outages on the links and on own networks which affect the transmission capacity shall be planned in consultation between the Parties.</w:t>
      </w:r>
    </w:p>
    <w:p w14:paraId="0F57232B" w14:textId="77777777" w:rsidR="0068527A" w:rsidRPr="00E20C79" w:rsidRDefault="0068527A" w:rsidP="0068527A">
      <w:pPr>
        <w:pStyle w:val="Blocksatz"/>
        <w:rPr>
          <w:bCs/>
          <w:lang w:bidi="ar-QA"/>
        </w:rPr>
      </w:pPr>
      <w:r w:rsidRPr="00E20C79">
        <w:rPr>
          <w:bCs/>
          <w:lang w:bidi="ar-QA"/>
        </w:rPr>
        <w:t>Planning and maintenance are co-ordinated between the respective operational managements.</w:t>
      </w:r>
    </w:p>
    <w:p w14:paraId="5514F283" w14:textId="5B14C2CA" w:rsidR="0068527A" w:rsidRPr="00E20C79" w:rsidRDefault="0068527A" w:rsidP="0068527A">
      <w:pPr>
        <w:pStyle w:val="Blocksatz"/>
        <w:rPr>
          <w:bCs/>
          <w:lang w:bidi="ar-QA"/>
        </w:rPr>
      </w:pPr>
      <w:r w:rsidRPr="00E20C79">
        <w:rPr>
          <w:bCs/>
          <w:lang w:bidi="ar-QA"/>
        </w:rPr>
        <w:lastRenderedPageBreak/>
        <w:t>O</w:t>
      </w:r>
      <w:r w:rsidR="004A638D" w:rsidRPr="00E20C79">
        <w:rPr>
          <w:bCs/>
          <w:lang w:bidi="ar-QA"/>
        </w:rPr>
        <w:t>utage</w:t>
      </w:r>
      <w:r w:rsidRPr="00E20C79">
        <w:rPr>
          <w:bCs/>
          <w:lang w:bidi="ar-QA"/>
        </w:rPr>
        <w:t xml:space="preserve"> planning is co-ordinated with the other HVDC links in the Nordic area.</w:t>
      </w:r>
    </w:p>
    <w:p w14:paraId="447CCB7F" w14:textId="3DA74528" w:rsidR="0068527A" w:rsidRPr="0068527A" w:rsidRDefault="0068527A" w:rsidP="0068527A">
      <w:pPr>
        <w:pStyle w:val="Blocksatz"/>
        <w:rPr>
          <w:bCs/>
          <w:lang w:bidi="ar-QA"/>
        </w:rPr>
      </w:pPr>
      <w:r w:rsidRPr="0068527A">
        <w:rPr>
          <w:bCs/>
          <w:lang w:bidi="ar-QA"/>
        </w:rPr>
        <w:br/>
      </w:r>
    </w:p>
    <w:p w14:paraId="0297A9F9" w14:textId="12630743" w:rsidR="0068527A" w:rsidRPr="0068527A" w:rsidRDefault="0068527A" w:rsidP="0068527A">
      <w:pPr>
        <w:pStyle w:val="Overskrift2"/>
      </w:pPr>
      <w:bookmarkStart w:id="69" w:name="_Toc54867988"/>
      <w:bookmarkStart w:id="70" w:name="_Toc103263053"/>
      <w:bookmarkStart w:id="71" w:name="_Toc103263157"/>
      <w:bookmarkStart w:id="72" w:name="_Toc113005714"/>
      <w:r w:rsidRPr="0068527A">
        <w:t>Disturbance management</w:t>
      </w:r>
      <w:bookmarkEnd w:id="69"/>
      <w:bookmarkEnd w:id="70"/>
      <w:bookmarkEnd w:id="71"/>
      <w:bookmarkEnd w:id="72"/>
    </w:p>
    <w:p w14:paraId="7E42260B" w14:textId="6A9A7CD0" w:rsidR="0068527A" w:rsidRPr="00E20C79" w:rsidRDefault="0068527A" w:rsidP="0068527A">
      <w:pPr>
        <w:pStyle w:val="Overskrift3"/>
      </w:pPr>
      <w:bookmarkStart w:id="73" w:name="_Toc54867989"/>
      <w:bookmarkStart w:id="74" w:name="_Toc103263054"/>
      <w:bookmarkStart w:id="75" w:name="_Toc103263158"/>
      <w:bookmarkStart w:id="76" w:name="_Toc113005715"/>
      <w:r w:rsidRPr="00E20C79">
        <w:t>General</w:t>
      </w:r>
      <w:bookmarkEnd w:id="73"/>
      <w:bookmarkEnd w:id="74"/>
      <w:bookmarkEnd w:id="75"/>
      <w:bookmarkEnd w:id="76"/>
    </w:p>
    <w:p w14:paraId="4ABA5FD1" w14:textId="77777777" w:rsidR="0068527A" w:rsidRPr="00E20C79" w:rsidRDefault="0068527A" w:rsidP="0068527A">
      <w:pPr>
        <w:pStyle w:val="Blocksatz"/>
        <w:rPr>
          <w:b/>
          <w:bCs/>
          <w:lang w:bidi="ar-QA"/>
        </w:rPr>
      </w:pPr>
      <w:r w:rsidRPr="00E20C79">
        <w:rPr>
          <w:bCs/>
          <w:lang w:bidi="ar-QA"/>
        </w:rPr>
        <w:t>The Skagerrak link is of great importance to Norway and Denmark, thus outages due to disturbances generally entail major economic losses. In the event of operational disturbances, measures in accordance with issued instructions shall, as soon as possible, restore the link to normal state.</w:t>
      </w:r>
    </w:p>
    <w:p w14:paraId="3042CD87" w14:textId="77777777" w:rsidR="0068527A" w:rsidRPr="00E20C79" w:rsidRDefault="0068527A" w:rsidP="0068527A">
      <w:pPr>
        <w:pStyle w:val="Blocksatz"/>
        <w:rPr>
          <w:b/>
          <w:bCs/>
          <w:lang w:bidi="ar-QA"/>
        </w:rPr>
      </w:pPr>
      <w:r w:rsidRPr="00E20C79">
        <w:rPr>
          <w:bCs/>
          <w:lang w:bidi="ar-QA"/>
        </w:rPr>
        <w:t>Automated operational disturbance systems are installed at Kristiansand and Tjele which begin to function during disturbances on the Norwegian or Jutland networks.</w:t>
      </w:r>
    </w:p>
    <w:p w14:paraId="0DD38B7D" w14:textId="77777777" w:rsidR="0068527A" w:rsidRPr="00E20C79" w:rsidRDefault="0068527A" w:rsidP="0068527A">
      <w:pPr>
        <w:pStyle w:val="Blocksatz"/>
        <w:rPr>
          <w:b/>
          <w:bCs/>
          <w:lang w:bidi="ar-QA"/>
        </w:rPr>
      </w:pPr>
    </w:p>
    <w:p w14:paraId="079AECEA" w14:textId="637A15F0" w:rsidR="0068527A" w:rsidRPr="00E20C79" w:rsidRDefault="004F007C" w:rsidP="0068527A">
      <w:pPr>
        <w:pStyle w:val="Overskrift3"/>
      </w:pPr>
      <w:bookmarkStart w:id="77" w:name="_Toc54867990"/>
      <w:bookmarkStart w:id="78" w:name="_Toc103263055"/>
      <w:bookmarkStart w:id="79" w:name="_Toc103263159"/>
      <w:bookmarkStart w:id="80" w:name="_Toc113005716"/>
      <w:r w:rsidRPr="00E20C79">
        <w:t>Delta</w:t>
      </w:r>
      <w:r w:rsidR="0068527A" w:rsidRPr="00E20C79">
        <w:t xml:space="preserve"> power</w:t>
      </w:r>
      <w:bookmarkEnd w:id="77"/>
      <w:bookmarkEnd w:id="78"/>
      <w:bookmarkEnd w:id="79"/>
      <w:bookmarkEnd w:id="80"/>
    </w:p>
    <w:p w14:paraId="5D7F90D1" w14:textId="49731CA1" w:rsidR="0068527A" w:rsidRPr="00E20C79" w:rsidRDefault="00A419DB" w:rsidP="0068527A">
      <w:pPr>
        <w:pStyle w:val="Blocksatz"/>
        <w:rPr>
          <w:bCs/>
          <w:lang w:bidi="ar-QA"/>
        </w:rPr>
      </w:pPr>
      <w:r w:rsidRPr="00E20C79">
        <w:rPr>
          <w:bCs/>
          <w:lang w:bidi="ar-QA"/>
        </w:rPr>
        <w:t xml:space="preserve">Delta </w:t>
      </w:r>
      <w:r w:rsidR="0068527A" w:rsidRPr="00E20C79">
        <w:rPr>
          <w:bCs/>
          <w:lang w:bidi="ar-QA"/>
        </w:rPr>
        <w:t xml:space="preserve">power consists of </w:t>
      </w:r>
      <w:r w:rsidR="001F03B0" w:rsidRPr="00E20C79">
        <w:rPr>
          <w:bCs/>
          <w:lang w:bidi="ar-QA"/>
        </w:rPr>
        <w:t xml:space="preserve">control </w:t>
      </w:r>
      <w:r w:rsidR="0068527A" w:rsidRPr="00E20C79">
        <w:rPr>
          <w:bCs/>
          <w:lang w:bidi="ar-QA"/>
        </w:rPr>
        <w:t>measures which are initiated manually</w:t>
      </w:r>
      <w:r w:rsidR="008B0DCF" w:rsidRPr="00E20C79">
        <w:rPr>
          <w:bCs/>
          <w:lang w:bidi="ar-QA"/>
        </w:rPr>
        <w:t>.</w:t>
      </w:r>
    </w:p>
    <w:p w14:paraId="25D4E360" w14:textId="601E1F22" w:rsidR="0068527A" w:rsidRPr="00E20C79" w:rsidRDefault="0068527A" w:rsidP="0068527A">
      <w:pPr>
        <w:pStyle w:val="Blocksatz"/>
        <w:rPr>
          <w:bCs/>
          <w:lang w:bidi="ar-QA"/>
        </w:rPr>
      </w:pPr>
      <w:r w:rsidRPr="00E20C79">
        <w:rPr>
          <w:bCs/>
          <w:lang w:bidi="ar-QA"/>
        </w:rPr>
        <w:t xml:space="preserve">Both sides have the right to initiate </w:t>
      </w:r>
      <w:r w:rsidR="00A419DB" w:rsidRPr="00E20C79">
        <w:rPr>
          <w:bCs/>
          <w:lang w:bidi="ar-QA"/>
        </w:rPr>
        <w:t>Delta</w:t>
      </w:r>
      <w:r w:rsidRPr="00E20C79">
        <w:rPr>
          <w:bCs/>
          <w:lang w:bidi="ar-QA"/>
        </w:rPr>
        <w:t xml:space="preserve"> power in the event of unforeseen losses of production, network disturbances or other operational disturbances.</w:t>
      </w:r>
    </w:p>
    <w:p w14:paraId="4B3BEA3A" w14:textId="7E3A2961" w:rsidR="0068527A" w:rsidRPr="00E20C79" w:rsidRDefault="00570978" w:rsidP="0068527A">
      <w:pPr>
        <w:pStyle w:val="Blocksatz"/>
        <w:rPr>
          <w:bCs/>
          <w:lang w:bidi="ar-QA"/>
        </w:rPr>
      </w:pPr>
      <w:r w:rsidRPr="00E20C79">
        <w:rPr>
          <w:bCs/>
          <w:lang w:bidi="ar-QA"/>
        </w:rPr>
        <w:t>Delta</w:t>
      </w:r>
      <w:r w:rsidR="0068527A" w:rsidRPr="00E20C79">
        <w:rPr>
          <w:bCs/>
          <w:lang w:bidi="ar-QA"/>
        </w:rPr>
        <w:t xml:space="preserve"> power without previous notice may be activated with</w:t>
      </w:r>
      <w:r w:rsidR="00447E7B" w:rsidRPr="00E20C79">
        <w:rPr>
          <w:bCs/>
          <w:lang w:bidi="ar-QA"/>
        </w:rPr>
        <w:t xml:space="preserve"> up to</w:t>
      </w:r>
      <w:r w:rsidR="0068527A" w:rsidRPr="00E20C79">
        <w:rPr>
          <w:bCs/>
          <w:lang w:bidi="ar-QA"/>
        </w:rPr>
        <w:t xml:space="preserve"> 100 MW and 100 MWh/calendar day. Prior to activation over and above this, notification and approval shall occur between Energinet’s Control Centre at </w:t>
      </w:r>
      <w:r w:rsidR="00EB6011" w:rsidRPr="00E20C79">
        <w:rPr>
          <w:bCs/>
          <w:lang w:bidi="ar-QA"/>
        </w:rPr>
        <w:t xml:space="preserve">Erritsø </w:t>
      </w:r>
      <w:r w:rsidR="0068527A" w:rsidRPr="00E20C79">
        <w:rPr>
          <w:bCs/>
          <w:lang w:bidi="ar-QA"/>
        </w:rPr>
        <w:t>and Statnett’s National Centre in Oslo.</w:t>
      </w:r>
    </w:p>
    <w:p w14:paraId="54959560" w14:textId="77777777" w:rsidR="0068527A" w:rsidRPr="00E20C79" w:rsidRDefault="0068527A" w:rsidP="0068527A">
      <w:pPr>
        <w:pStyle w:val="Blocksatz"/>
        <w:rPr>
          <w:bCs/>
          <w:lang w:bidi="ar-QA"/>
        </w:rPr>
      </w:pPr>
    </w:p>
    <w:p w14:paraId="099069B5" w14:textId="02DA5BC8" w:rsidR="0068527A" w:rsidRPr="00E20C79" w:rsidRDefault="0068527A" w:rsidP="0068527A">
      <w:pPr>
        <w:pStyle w:val="Overskrift3"/>
      </w:pPr>
      <w:bookmarkStart w:id="81" w:name="_Toc54867991"/>
      <w:bookmarkStart w:id="82" w:name="_Toc103263056"/>
      <w:bookmarkStart w:id="83" w:name="_Toc103263160"/>
      <w:bookmarkStart w:id="84" w:name="_Toc113005717"/>
      <w:r w:rsidRPr="00E20C79">
        <w:t>System protection</w:t>
      </w:r>
      <w:bookmarkEnd w:id="81"/>
      <w:bookmarkEnd w:id="82"/>
      <w:bookmarkEnd w:id="83"/>
      <w:bookmarkEnd w:id="84"/>
    </w:p>
    <w:p w14:paraId="0433F277" w14:textId="2F2CC250" w:rsidR="0068527A" w:rsidRPr="00E20C79" w:rsidRDefault="0068527A" w:rsidP="0068527A">
      <w:pPr>
        <w:pStyle w:val="Blocksatz"/>
        <w:rPr>
          <w:bCs/>
          <w:lang w:bidi="ar-QA"/>
        </w:rPr>
      </w:pPr>
      <w:r w:rsidRPr="00E20C79">
        <w:rPr>
          <w:bCs/>
          <w:lang w:bidi="ar-QA"/>
        </w:rPr>
        <w:t xml:space="preserve">At the DC facilities, system protection is constituted by emergency power settings at the converter stations. Activation criteria can be locally measured frequency and voltage or via telecoms based on the supplied signal. In the event of activation, any ongoing normal </w:t>
      </w:r>
      <w:r w:rsidR="004E6EC6" w:rsidRPr="00E20C79">
        <w:rPr>
          <w:bCs/>
          <w:lang w:bidi="ar-QA"/>
        </w:rPr>
        <w:t xml:space="preserve">control </w:t>
      </w:r>
      <w:r w:rsidRPr="00E20C79">
        <w:rPr>
          <w:bCs/>
          <w:lang w:bidi="ar-QA"/>
        </w:rPr>
        <w:t xml:space="preserve">will be interrupted. Activation over and above the agreed limits and </w:t>
      </w:r>
      <w:r w:rsidR="004E6EC6" w:rsidRPr="00E20C79">
        <w:rPr>
          <w:bCs/>
          <w:lang w:bidi="ar-QA"/>
        </w:rPr>
        <w:t xml:space="preserve">control </w:t>
      </w:r>
      <w:r w:rsidRPr="00E20C79">
        <w:rPr>
          <w:bCs/>
          <w:lang w:bidi="ar-QA"/>
        </w:rPr>
        <w:t>back to plan may not occur until the counterparty has approved this. (See further in Appendix 5 – System protection).</w:t>
      </w:r>
    </w:p>
    <w:p w14:paraId="30BD289E" w14:textId="632734F4" w:rsidR="0068527A" w:rsidRPr="00E20C79" w:rsidRDefault="0068527A" w:rsidP="0068527A">
      <w:pPr>
        <w:pStyle w:val="Blocksatz"/>
        <w:rPr>
          <w:bCs/>
          <w:lang w:bidi="ar-QA"/>
        </w:rPr>
      </w:pPr>
      <w:r w:rsidRPr="00E20C79">
        <w:rPr>
          <w:bCs/>
          <w:lang w:bidi="ar-QA"/>
        </w:rPr>
        <w:t>Energinet and Statnett can additionally enter into agreements regarding other types of system services.</w:t>
      </w:r>
    </w:p>
    <w:p w14:paraId="63CC0D23" w14:textId="77777777" w:rsidR="0068527A" w:rsidRPr="00E20C79" w:rsidRDefault="0068527A" w:rsidP="0068527A">
      <w:pPr>
        <w:pStyle w:val="Blocksatz"/>
        <w:rPr>
          <w:bCs/>
          <w:lang w:bidi="ar-QA"/>
        </w:rPr>
      </w:pPr>
    </w:p>
    <w:p w14:paraId="2620EC74" w14:textId="24794182" w:rsidR="0068527A" w:rsidRPr="00E20C79" w:rsidRDefault="0068527A" w:rsidP="0068527A">
      <w:pPr>
        <w:pStyle w:val="Overskrift1"/>
        <w:rPr>
          <w:lang w:val="en-US"/>
        </w:rPr>
      </w:pPr>
      <w:bookmarkStart w:id="85" w:name="_Toc54867992"/>
      <w:bookmarkStart w:id="86" w:name="_Toc103263161"/>
      <w:bookmarkStart w:id="87" w:name="_Toc113005718"/>
      <w:r w:rsidRPr="00E20C79">
        <w:rPr>
          <w:lang w:val="en-US"/>
        </w:rPr>
        <w:t>Miscellaneous</w:t>
      </w:r>
      <w:bookmarkEnd w:id="85"/>
      <w:bookmarkEnd w:id="86"/>
      <w:bookmarkEnd w:id="87"/>
    </w:p>
    <w:p w14:paraId="302A5690" w14:textId="54663481" w:rsidR="0068527A" w:rsidRPr="00E20C79" w:rsidRDefault="0068527A" w:rsidP="0068527A">
      <w:pPr>
        <w:pStyle w:val="Overskrift2"/>
        <w:rPr>
          <w:lang w:val="en-US"/>
        </w:rPr>
      </w:pPr>
      <w:bookmarkStart w:id="88" w:name="_Toc54867994"/>
      <w:bookmarkStart w:id="89" w:name="_Toc103263057"/>
      <w:bookmarkStart w:id="90" w:name="_Toc103263162"/>
      <w:bookmarkStart w:id="91" w:name="_Toc113005719"/>
      <w:r w:rsidRPr="00E20C79">
        <w:rPr>
          <w:lang w:val="en-US"/>
        </w:rPr>
        <w:t>System services</w:t>
      </w:r>
      <w:bookmarkEnd w:id="88"/>
      <w:bookmarkEnd w:id="89"/>
      <w:bookmarkEnd w:id="90"/>
      <w:bookmarkEnd w:id="91"/>
    </w:p>
    <w:p w14:paraId="5022A026" w14:textId="70091DDF" w:rsidR="0068527A" w:rsidRPr="00E20C79" w:rsidRDefault="0068527A" w:rsidP="0068527A">
      <w:pPr>
        <w:pStyle w:val="Blocksatz"/>
        <w:rPr>
          <w:bCs/>
          <w:lang w:bidi="ar-QA"/>
        </w:rPr>
      </w:pPr>
      <w:r w:rsidRPr="00E20C79">
        <w:rPr>
          <w:bCs/>
          <w:lang w:bidi="ar-QA"/>
        </w:rPr>
        <w:t xml:space="preserve">For the manual activation of operation reserves, the available </w:t>
      </w:r>
      <w:r w:rsidR="004C5732">
        <w:rPr>
          <w:bCs/>
          <w:lang w:bidi="ar-QA"/>
        </w:rPr>
        <w:t>transmission</w:t>
      </w:r>
      <w:r w:rsidRPr="00E20C79">
        <w:rPr>
          <w:bCs/>
          <w:lang w:bidi="ar-QA"/>
        </w:rPr>
        <w:t xml:space="preserve"> capacity</w:t>
      </w:r>
      <w:r w:rsidR="00414F65">
        <w:rPr>
          <w:bCs/>
          <w:lang w:bidi="ar-QA"/>
        </w:rPr>
        <w:t xml:space="preserve"> (the “leftover</w:t>
      </w:r>
      <w:r w:rsidR="00457C51">
        <w:rPr>
          <w:bCs/>
          <w:lang w:bidi="ar-QA"/>
        </w:rPr>
        <w:t>”</w:t>
      </w:r>
      <w:r w:rsidR="005D68E4">
        <w:rPr>
          <w:bCs/>
          <w:lang w:bidi="ar-QA"/>
        </w:rPr>
        <w:t xml:space="preserve"> from Day ahead and Intraday</w:t>
      </w:r>
      <w:r w:rsidR="00457C51">
        <w:rPr>
          <w:bCs/>
          <w:lang w:bidi="ar-QA"/>
        </w:rPr>
        <w:t>)</w:t>
      </w:r>
      <w:r w:rsidRPr="00E20C79">
        <w:rPr>
          <w:bCs/>
          <w:lang w:bidi="ar-QA"/>
        </w:rPr>
        <w:t xml:space="preserve"> can be used. </w:t>
      </w:r>
    </w:p>
    <w:p w14:paraId="0E54D949" w14:textId="3CF7E871" w:rsidR="0068527A" w:rsidRPr="00E20C79" w:rsidRDefault="00B92291" w:rsidP="0068527A">
      <w:pPr>
        <w:pStyle w:val="Blocksatz"/>
        <w:rPr>
          <w:bCs/>
          <w:lang w:bidi="ar-QA"/>
        </w:rPr>
      </w:pPr>
      <w:r>
        <w:rPr>
          <w:bCs/>
          <w:lang w:bidi="ar-QA"/>
        </w:rPr>
        <w:t>Both Statnett and Energinet</w:t>
      </w:r>
      <w:r w:rsidR="0068527A" w:rsidRPr="00E20C79">
        <w:rPr>
          <w:bCs/>
          <w:lang w:bidi="ar-QA"/>
        </w:rPr>
        <w:t xml:space="preserve"> have the right to utilize idle transmission capacity for the transmission of system services. Configuration values, power limits etc. are agreed upon bilaterally.</w:t>
      </w:r>
    </w:p>
    <w:p w14:paraId="443878FE" w14:textId="67D067EC" w:rsidR="0068527A" w:rsidRPr="00E20C79" w:rsidRDefault="0068527A" w:rsidP="0068527A">
      <w:pPr>
        <w:pStyle w:val="Blocksatz"/>
        <w:rPr>
          <w:bCs/>
          <w:lang w:bidi="ar-QA"/>
        </w:rPr>
      </w:pPr>
      <w:r w:rsidRPr="00E20C79">
        <w:rPr>
          <w:bCs/>
          <w:lang w:bidi="ar-QA"/>
        </w:rPr>
        <w:lastRenderedPageBreak/>
        <w:t>Energinet and Statnett can also conclude agreements concerning other types of system services.</w:t>
      </w:r>
    </w:p>
    <w:p w14:paraId="45868EDA" w14:textId="77777777" w:rsidR="0068527A" w:rsidRPr="00E20C79" w:rsidRDefault="0068527A" w:rsidP="0068527A">
      <w:pPr>
        <w:pStyle w:val="Blocksatz"/>
        <w:rPr>
          <w:bCs/>
          <w:lang w:bidi="ar-QA"/>
        </w:rPr>
      </w:pPr>
    </w:p>
    <w:p w14:paraId="56230E38" w14:textId="08C151CE" w:rsidR="0068527A" w:rsidRPr="0068527A" w:rsidRDefault="0068527A" w:rsidP="0068527A">
      <w:pPr>
        <w:pStyle w:val="Overskrift2"/>
        <w:rPr>
          <w:lang w:val="en-US"/>
        </w:rPr>
      </w:pPr>
      <w:bookmarkStart w:id="92" w:name="_Toc54867995"/>
      <w:bookmarkStart w:id="93" w:name="_Toc103263058"/>
      <w:bookmarkStart w:id="94" w:name="_Toc103263163"/>
      <w:bookmarkStart w:id="95" w:name="_Toc113005720"/>
      <w:r w:rsidRPr="0068527A">
        <w:rPr>
          <w:lang w:val="en-US"/>
        </w:rPr>
        <w:t>Settlement</w:t>
      </w:r>
      <w:bookmarkEnd w:id="92"/>
      <w:bookmarkEnd w:id="93"/>
      <w:bookmarkEnd w:id="94"/>
      <w:bookmarkEnd w:id="95"/>
      <w:r w:rsidRPr="0068527A">
        <w:rPr>
          <w:lang w:val="en-US"/>
        </w:rPr>
        <w:t xml:space="preserve"> </w:t>
      </w:r>
    </w:p>
    <w:p w14:paraId="1208B0A4" w14:textId="5783473C" w:rsidR="0068527A" w:rsidRPr="00B92291" w:rsidRDefault="0068527A" w:rsidP="0068527A">
      <w:pPr>
        <w:pStyle w:val="Blocksatz"/>
        <w:rPr>
          <w:bCs/>
          <w:lang w:bidi="ar-QA"/>
        </w:rPr>
      </w:pPr>
      <w:r w:rsidRPr="00B92291">
        <w:rPr>
          <w:bCs/>
          <w:lang w:bidi="ar-QA"/>
        </w:rPr>
        <w:t xml:space="preserve">Energinet and Statnett manage the settlement in </w:t>
      </w:r>
      <w:r w:rsidR="00C17101" w:rsidRPr="00B92291">
        <w:rPr>
          <w:bCs/>
          <w:lang w:bidi="ar-QA"/>
        </w:rPr>
        <w:t>cooperation and</w:t>
      </w:r>
      <w:r w:rsidRPr="00B92291">
        <w:rPr>
          <w:bCs/>
          <w:lang w:bidi="ar-QA"/>
        </w:rPr>
        <w:t xml:space="preserve"> agrees upon settlements data on daily basis. Each party sends the demand to the other party.</w:t>
      </w:r>
    </w:p>
    <w:p w14:paraId="03B97CE4" w14:textId="77777777" w:rsidR="0068527A" w:rsidRPr="00B92291" w:rsidRDefault="0068527A" w:rsidP="001D0731">
      <w:pPr>
        <w:pStyle w:val="Blocksatz"/>
        <w:rPr>
          <w:bCs/>
          <w:lang w:bidi="ar-QA"/>
        </w:rPr>
      </w:pPr>
    </w:p>
    <w:sectPr w:rsidR="0068527A" w:rsidRPr="00B92291" w:rsidSect="003C72B7">
      <w:footerReference w:type="default" r:id="rId26"/>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4A05" w14:textId="77777777" w:rsidR="00BA0BBA" w:rsidRDefault="00BA0BBA" w:rsidP="00C404FC">
      <w:r>
        <w:separator/>
      </w:r>
    </w:p>
  </w:endnote>
  <w:endnote w:type="continuationSeparator" w:id="0">
    <w:p w14:paraId="43DD0402" w14:textId="77777777" w:rsidR="00BA0BBA" w:rsidRDefault="00BA0BBA" w:rsidP="00C404FC">
      <w:r>
        <w:continuationSeparator/>
      </w:r>
    </w:p>
  </w:endnote>
  <w:endnote w:type="continuationNotice" w:id="1">
    <w:p w14:paraId="531D9D71" w14:textId="77777777" w:rsidR="00BA0BBA" w:rsidRDefault="00BA0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C94B" w14:textId="77777777" w:rsidR="002B5A0A" w:rsidRDefault="002B5A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5D66BE82" w:rsidR="00582FC6" w:rsidRPr="002823AA" w:rsidRDefault="00582FC6" w:rsidP="00C404FC">
    <w:pPr>
      <w:pStyle w:val="Fusszeil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B39" w14:textId="77777777" w:rsidR="002B5A0A" w:rsidRDefault="002B5A0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82FC6" w:rsidRPr="002823AA" w:rsidRDefault="00582FC6" w:rsidP="00C404FC">
    <w:pPr>
      <w:pStyle w:val="Fusszeile2"/>
    </w:pPr>
    <w:r>
      <w:rPr>
        <w:lang w:val="de-DE" w:eastAsia="de-DE"/>
      </w:rPr>
      <mc:AlternateContent>
        <mc:Choice Requires="wps">
          <w:drawing>
            <wp:anchor distT="0" distB="0" distL="114300" distR="114300" simplePos="0" relativeHeight="251658241"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1A863D70" w:rsidR="00582FC6" w:rsidRPr="00830BAE" w:rsidRDefault="00582FC6"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Pr>
                              <w:rStyle w:val="Sidetal"/>
                              <w:noProof/>
                            </w:rPr>
                            <w:t>7</w:t>
                          </w:r>
                          <w:r>
                            <w:rPr>
                              <w:rStyle w:val="Sidet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7" type="#_x0000_t202" style="position:absolute;left:0;text-align:left;margin-left:122.3pt;margin-top:0;width:173.5pt;height:64.35pt;z-index:251658241;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A8AEAAMo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" stroked="f">
              <v:textbox>
                <w:txbxContent>
                  <w:p w14:paraId="17E9A1BD" w14:textId="1A863D70" w:rsidR="00582FC6" w:rsidRPr="00830BAE" w:rsidRDefault="00582FC6"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Pr>
                        <w:rStyle w:val="Sidetal"/>
                        <w:noProof/>
                      </w:rPr>
                      <w:t>7</w:t>
                    </w:r>
                    <w:r>
                      <w:rPr>
                        <w:rStyle w:val="Sidetal"/>
                      </w:rPr>
                      <w:fldChar w:fldCharType="end"/>
                    </w:r>
                  </w:p>
                </w:txbxContent>
              </v:textbox>
              <w10:wrap type="square" anchorx="margin" anchory="margin"/>
            </v:shape>
          </w:pict>
        </mc:Fallback>
      </mc:AlternateContent>
    </w:r>
    <w:r>
      <w:rPr>
        <w:lang w:val="de-DE" w:eastAsia="de-DE"/>
      </w:rPr>
      <mc:AlternateContent>
        <mc:Choice Requires="wps">
          <w:drawing>
            <wp:anchor distT="0" distB="0" distL="114300" distR="114300" simplePos="0" relativeHeight="251658240"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269D7524" w14:textId="0870C2F8" w:rsidR="00582FC6" w:rsidRPr="006A1DCE" w:rsidRDefault="00582FC6" w:rsidP="00945D6D">
                          <w:pPr>
                            <w:pStyle w:val="Sidefod"/>
                          </w:pPr>
                        </w:p>
                        <w:p w14:paraId="01A3BE6C" w14:textId="77777777" w:rsidR="00582FC6" w:rsidRPr="006A1DCE" w:rsidRDefault="00582FC6" w:rsidP="00C404FC">
                          <w:pPr>
                            <w:pStyle w:val="Blocksatz"/>
                          </w:pPr>
                        </w:p>
                        <w:p w14:paraId="01CCEEA2" w14:textId="77777777" w:rsidR="00582FC6" w:rsidRPr="006A1DCE" w:rsidRDefault="00582FC6"/>
                        <w:p w14:paraId="2DEB7593" w14:textId="77777777" w:rsidR="00582FC6" w:rsidRPr="006A1DCE" w:rsidRDefault="00582FC6" w:rsidP="00C404FC">
                          <w:pPr>
                            <w:pStyle w:val="Sidefod"/>
                          </w:pPr>
                          <w:r w:rsidRPr="006A1DCE">
                            <w:t xml:space="preserve">E-BRIDGE       </w:t>
                          </w:r>
                        </w:p>
                        <w:p w14:paraId="3D0A5AA2" w14:textId="77777777" w:rsidR="00582FC6" w:rsidRPr="002823AA" w:rsidRDefault="00582FC6" w:rsidP="00C404FC">
                          <w:pPr>
                            <w:pStyle w:val="Sidefod"/>
                          </w:pPr>
                          <w:r w:rsidRPr="002823AA">
                            <w:t xml:space="preserve">CONSULTING GMBH </w:t>
                          </w:r>
                        </w:p>
                        <w:p w14:paraId="5143DC51" w14:textId="77777777" w:rsidR="00582FC6" w:rsidRDefault="00582FC6"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Text Box 7" o:spid="_x0000_s1028" type="#_x0000_t202" style="position:absolute;left:0;text-align:left;margin-left:563.7pt;margin-top:-3.8pt;width:11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269D7524" w14:textId="0870C2F8" w:rsidR="00582FC6" w:rsidRPr="006A1DCE" w:rsidRDefault="00582FC6" w:rsidP="00945D6D">
                    <w:pPr>
                      <w:pStyle w:val="Sidefod"/>
                    </w:pPr>
                  </w:p>
                  <w:p w14:paraId="01A3BE6C" w14:textId="77777777" w:rsidR="00582FC6" w:rsidRPr="006A1DCE" w:rsidRDefault="00582FC6" w:rsidP="00C404FC">
                    <w:pPr>
                      <w:pStyle w:val="Blocksatz"/>
                    </w:pPr>
                  </w:p>
                  <w:p w14:paraId="01CCEEA2" w14:textId="77777777" w:rsidR="00582FC6" w:rsidRPr="006A1DCE" w:rsidRDefault="00582FC6"/>
                  <w:p w14:paraId="2DEB7593" w14:textId="77777777" w:rsidR="00582FC6" w:rsidRPr="006A1DCE" w:rsidRDefault="00582FC6" w:rsidP="00C404FC">
                    <w:pPr>
                      <w:pStyle w:val="Sidefod"/>
                    </w:pPr>
                    <w:r w:rsidRPr="006A1DCE">
                      <w:t xml:space="preserve">E-BRIDGE       </w:t>
                    </w:r>
                  </w:p>
                  <w:p w14:paraId="3D0A5AA2" w14:textId="77777777" w:rsidR="00582FC6" w:rsidRPr="002823AA" w:rsidRDefault="00582FC6" w:rsidP="00C404FC">
                    <w:pPr>
                      <w:pStyle w:val="Sidefod"/>
                    </w:pPr>
                    <w:r w:rsidRPr="002823AA">
                      <w:t xml:space="preserve">CONSULTING GMBH </w:t>
                    </w:r>
                  </w:p>
                  <w:p w14:paraId="5143DC51" w14:textId="77777777" w:rsidR="00582FC6" w:rsidRDefault="00582FC6"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0296" w14:textId="77777777" w:rsidR="00BA0BBA" w:rsidRDefault="00BA0BBA" w:rsidP="00C404FC">
      <w:r>
        <w:separator/>
      </w:r>
    </w:p>
  </w:footnote>
  <w:footnote w:type="continuationSeparator" w:id="0">
    <w:p w14:paraId="4A67F294" w14:textId="77777777" w:rsidR="00BA0BBA" w:rsidRDefault="00BA0BBA" w:rsidP="00C404FC">
      <w:r>
        <w:continuationSeparator/>
      </w:r>
    </w:p>
  </w:footnote>
  <w:footnote w:type="continuationNotice" w:id="1">
    <w:p w14:paraId="61FAAFCC" w14:textId="77777777" w:rsidR="00BA0BBA" w:rsidRDefault="00BA0B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548F" w14:textId="77777777" w:rsidR="002B5A0A" w:rsidRDefault="002B5A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A17" w14:textId="77777777" w:rsidR="002B5A0A" w:rsidRDefault="002B5A0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063F" w14:textId="77777777" w:rsidR="002B5A0A" w:rsidRDefault="002B5A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Opstilling-talellerbogst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Opstilling-punkttegn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Opstilling-talellerbogst"/>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3"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4"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FBB6C42"/>
    <w:multiLevelType w:val="multilevel"/>
    <w:tmpl w:val="F910859E"/>
    <w:styleLink w:val="GliederungAufzhlungszeichen"/>
    <w:lvl w:ilvl="0">
      <w:start w:val="1"/>
      <w:numFmt w:val="bullet"/>
      <w:pStyle w:val="Opstilling-punkttegn"/>
      <w:lvlText w:val="■"/>
      <w:lvlJc w:val="left"/>
      <w:pPr>
        <w:ind w:left="360" w:hanging="360"/>
      </w:pPr>
      <w:rPr>
        <w:rFonts w:ascii="Segoe UI" w:hAnsi="Segoe UI" w:hint="default"/>
        <w:color w:val="A4B4C4" w:themeColor="background2" w:themeShade="BF"/>
        <w:sz w:val="22"/>
        <w:szCs w:val="26"/>
      </w:rPr>
    </w:lvl>
    <w:lvl w:ilvl="1">
      <w:start w:val="1"/>
      <w:numFmt w:val="bullet"/>
      <w:pStyle w:val="Opstilling-punkttegn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Opstilling-punkttegn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Opstilling-punkttegn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29" w15:restartNumberingAfterBreak="0">
    <w:nsid w:val="6DFB067F"/>
    <w:multiLevelType w:val="hybridMultilevel"/>
    <w:tmpl w:val="D7A2E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2"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15:restartNumberingAfterBreak="0">
    <w:nsid w:val="7F8E4411"/>
    <w:multiLevelType w:val="singleLevel"/>
    <w:tmpl w:val="04070001"/>
    <w:lvl w:ilvl="0">
      <w:start w:val="1"/>
      <w:numFmt w:val="bullet"/>
      <w:lvlText w:val=""/>
      <w:lvlJc w:val="left"/>
      <w:pPr>
        <w:ind w:left="360" w:hanging="360"/>
      </w:pPr>
      <w:rPr>
        <w:rFonts w:ascii="Symbol" w:hAnsi="Symbol" w:hint="default"/>
      </w:rPr>
    </w:lvl>
  </w:abstractNum>
  <w:num w:numId="1" w16cid:durableId="1217739568">
    <w:abstractNumId w:val="3"/>
  </w:num>
  <w:num w:numId="2" w16cid:durableId="1184130535">
    <w:abstractNumId w:val="5"/>
  </w:num>
  <w:num w:numId="3" w16cid:durableId="1255942392">
    <w:abstractNumId w:val="31"/>
  </w:num>
  <w:num w:numId="4" w16cid:durableId="462429715">
    <w:abstractNumId w:val="9"/>
  </w:num>
  <w:num w:numId="5" w16cid:durableId="714893497">
    <w:abstractNumId w:val="7"/>
  </w:num>
  <w:num w:numId="6" w16cid:durableId="1683898791">
    <w:abstractNumId w:val="4"/>
  </w:num>
  <w:num w:numId="7" w16cid:durableId="1894534852">
    <w:abstractNumId w:val="13"/>
  </w:num>
  <w:num w:numId="8" w16cid:durableId="2125224077">
    <w:abstractNumId w:val="26"/>
  </w:num>
  <w:num w:numId="9" w16cid:durableId="1005865104">
    <w:abstractNumId w:val="18"/>
  </w:num>
  <w:num w:numId="10" w16cid:durableId="1654486261">
    <w:abstractNumId w:val="2"/>
  </w:num>
  <w:num w:numId="11" w16cid:durableId="806045338">
    <w:abstractNumId w:val="14"/>
  </w:num>
  <w:num w:numId="12" w16cid:durableId="1210191546">
    <w:abstractNumId w:val="30"/>
  </w:num>
  <w:num w:numId="13" w16cid:durableId="668678431">
    <w:abstractNumId w:val="32"/>
  </w:num>
  <w:num w:numId="14" w16cid:durableId="1601715771">
    <w:abstractNumId w:val="21"/>
  </w:num>
  <w:num w:numId="15" w16cid:durableId="1073507636">
    <w:abstractNumId w:val="33"/>
    <w:lvlOverride w:ilvl="0">
      <w:startOverride w:val="1"/>
    </w:lvlOverride>
  </w:num>
  <w:num w:numId="16" w16cid:durableId="1819572511">
    <w:abstractNumId w:val="1"/>
  </w:num>
  <w:num w:numId="17" w16cid:durableId="1176262711">
    <w:abstractNumId w:val="0"/>
  </w:num>
  <w:num w:numId="18" w16cid:durableId="433209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486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9133754">
    <w:abstractNumId w:val="20"/>
  </w:num>
  <w:num w:numId="21" w16cid:durableId="243026725">
    <w:abstractNumId w:val="12"/>
  </w:num>
  <w:num w:numId="22" w16cid:durableId="909119610">
    <w:abstractNumId w:val="28"/>
  </w:num>
  <w:num w:numId="23" w16cid:durableId="1530756504">
    <w:abstractNumId w:val="24"/>
  </w:num>
  <w:num w:numId="24" w16cid:durableId="1766152626">
    <w:abstractNumId w:val="15"/>
  </w:num>
  <w:num w:numId="25" w16cid:durableId="1770348452">
    <w:abstractNumId w:val="27"/>
  </w:num>
  <w:num w:numId="26" w16cid:durableId="1925067114">
    <w:abstractNumId w:val="11"/>
  </w:num>
  <w:num w:numId="27" w16cid:durableId="30034849">
    <w:abstractNumId w:val="16"/>
  </w:num>
  <w:num w:numId="28" w16cid:durableId="1441097561">
    <w:abstractNumId w:val="17"/>
  </w:num>
  <w:num w:numId="29" w16cid:durableId="1516387356">
    <w:abstractNumId w:val="22"/>
  </w:num>
  <w:num w:numId="30" w16cid:durableId="1897163291">
    <w:abstractNumId w:val="23"/>
  </w:num>
  <w:num w:numId="31" w16cid:durableId="1896314966">
    <w:abstractNumId w:val="10"/>
  </w:num>
  <w:num w:numId="32" w16cid:durableId="768695974">
    <w:abstractNumId w:val="19"/>
  </w:num>
  <w:num w:numId="33" w16cid:durableId="1666663012">
    <w:abstractNumId w:val="34"/>
  </w:num>
  <w:num w:numId="34" w16cid:durableId="31680590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DateAndTime/>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50"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6"/>
    <w:rsid w:val="0000010A"/>
    <w:rsid w:val="00000AA7"/>
    <w:rsid w:val="00000FE3"/>
    <w:rsid w:val="00001C6B"/>
    <w:rsid w:val="00001DDD"/>
    <w:rsid w:val="000026E6"/>
    <w:rsid w:val="00002711"/>
    <w:rsid w:val="000031BD"/>
    <w:rsid w:val="00003D73"/>
    <w:rsid w:val="00003DFB"/>
    <w:rsid w:val="0000432F"/>
    <w:rsid w:val="00004865"/>
    <w:rsid w:val="00004F97"/>
    <w:rsid w:val="0000684E"/>
    <w:rsid w:val="0000695C"/>
    <w:rsid w:val="00006C19"/>
    <w:rsid w:val="00007D9F"/>
    <w:rsid w:val="0001009E"/>
    <w:rsid w:val="000100DB"/>
    <w:rsid w:val="00010221"/>
    <w:rsid w:val="00013943"/>
    <w:rsid w:val="00013E7F"/>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680"/>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7A3"/>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06BD"/>
    <w:rsid w:val="000C260B"/>
    <w:rsid w:val="000C3829"/>
    <w:rsid w:val="000C399C"/>
    <w:rsid w:val="000C4424"/>
    <w:rsid w:val="000C5878"/>
    <w:rsid w:val="000C7E72"/>
    <w:rsid w:val="000D0A48"/>
    <w:rsid w:val="000D11FA"/>
    <w:rsid w:val="000D1482"/>
    <w:rsid w:val="000D16B7"/>
    <w:rsid w:val="000D1C4F"/>
    <w:rsid w:val="000D1E7C"/>
    <w:rsid w:val="000D22F1"/>
    <w:rsid w:val="000D3110"/>
    <w:rsid w:val="000D31FF"/>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5E95"/>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0F6B"/>
    <w:rsid w:val="00121713"/>
    <w:rsid w:val="00121995"/>
    <w:rsid w:val="00121EA6"/>
    <w:rsid w:val="00122428"/>
    <w:rsid w:val="00122984"/>
    <w:rsid w:val="00122F3F"/>
    <w:rsid w:val="00123783"/>
    <w:rsid w:val="00123856"/>
    <w:rsid w:val="00124C6F"/>
    <w:rsid w:val="00124E27"/>
    <w:rsid w:val="00124E84"/>
    <w:rsid w:val="001250A6"/>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274D"/>
    <w:rsid w:val="001444B0"/>
    <w:rsid w:val="00144A8C"/>
    <w:rsid w:val="00146C91"/>
    <w:rsid w:val="00146D9A"/>
    <w:rsid w:val="00150301"/>
    <w:rsid w:val="00150303"/>
    <w:rsid w:val="00150652"/>
    <w:rsid w:val="00151330"/>
    <w:rsid w:val="001516E9"/>
    <w:rsid w:val="001526C9"/>
    <w:rsid w:val="0015330F"/>
    <w:rsid w:val="00155C33"/>
    <w:rsid w:val="00155C68"/>
    <w:rsid w:val="00156278"/>
    <w:rsid w:val="001579B7"/>
    <w:rsid w:val="0016010F"/>
    <w:rsid w:val="00161111"/>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67D5D"/>
    <w:rsid w:val="00170131"/>
    <w:rsid w:val="001708A6"/>
    <w:rsid w:val="00171FDF"/>
    <w:rsid w:val="00173160"/>
    <w:rsid w:val="001732F6"/>
    <w:rsid w:val="001743AE"/>
    <w:rsid w:val="0017441E"/>
    <w:rsid w:val="00175770"/>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381A"/>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388"/>
    <w:rsid w:val="001B0A46"/>
    <w:rsid w:val="001B0C2B"/>
    <w:rsid w:val="001B1319"/>
    <w:rsid w:val="001B1ABE"/>
    <w:rsid w:val="001B1FE1"/>
    <w:rsid w:val="001B23A9"/>
    <w:rsid w:val="001B26AC"/>
    <w:rsid w:val="001B3EE3"/>
    <w:rsid w:val="001B3EFE"/>
    <w:rsid w:val="001B41FA"/>
    <w:rsid w:val="001B445C"/>
    <w:rsid w:val="001B4553"/>
    <w:rsid w:val="001B5466"/>
    <w:rsid w:val="001B5559"/>
    <w:rsid w:val="001B58CE"/>
    <w:rsid w:val="001B596B"/>
    <w:rsid w:val="001B6208"/>
    <w:rsid w:val="001B748B"/>
    <w:rsid w:val="001B74D1"/>
    <w:rsid w:val="001B7ADA"/>
    <w:rsid w:val="001C07FE"/>
    <w:rsid w:val="001C1341"/>
    <w:rsid w:val="001C13EB"/>
    <w:rsid w:val="001C1509"/>
    <w:rsid w:val="001C2648"/>
    <w:rsid w:val="001C3102"/>
    <w:rsid w:val="001C32DF"/>
    <w:rsid w:val="001C536C"/>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113"/>
    <w:rsid w:val="001D5256"/>
    <w:rsid w:val="001D56E1"/>
    <w:rsid w:val="001D582B"/>
    <w:rsid w:val="001D59D4"/>
    <w:rsid w:val="001D5A54"/>
    <w:rsid w:val="001D6D73"/>
    <w:rsid w:val="001D79BC"/>
    <w:rsid w:val="001D79E5"/>
    <w:rsid w:val="001D7F17"/>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3B0"/>
    <w:rsid w:val="001F0AAA"/>
    <w:rsid w:val="001F0CB9"/>
    <w:rsid w:val="001F0D73"/>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1DA3"/>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19A7"/>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489"/>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45A"/>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5AD7"/>
    <w:rsid w:val="002762AD"/>
    <w:rsid w:val="00276553"/>
    <w:rsid w:val="0027671F"/>
    <w:rsid w:val="00276744"/>
    <w:rsid w:val="002770CC"/>
    <w:rsid w:val="002778D6"/>
    <w:rsid w:val="00277AC4"/>
    <w:rsid w:val="0028120D"/>
    <w:rsid w:val="00281D78"/>
    <w:rsid w:val="002823AA"/>
    <w:rsid w:val="0028290F"/>
    <w:rsid w:val="00283080"/>
    <w:rsid w:val="00283871"/>
    <w:rsid w:val="002838A8"/>
    <w:rsid w:val="00283A02"/>
    <w:rsid w:val="00283A6B"/>
    <w:rsid w:val="00284C2A"/>
    <w:rsid w:val="00285152"/>
    <w:rsid w:val="00285398"/>
    <w:rsid w:val="0028768C"/>
    <w:rsid w:val="00287B05"/>
    <w:rsid w:val="00287F94"/>
    <w:rsid w:val="002903CA"/>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59AF"/>
    <w:rsid w:val="002A6510"/>
    <w:rsid w:val="002A6BBF"/>
    <w:rsid w:val="002A7A42"/>
    <w:rsid w:val="002A7C1D"/>
    <w:rsid w:val="002B1B9F"/>
    <w:rsid w:val="002B29EB"/>
    <w:rsid w:val="002B2D23"/>
    <w:rsid w:val="002B3586"/>
    <w:rsid w:val="002B4594"/>
    <w:rsid w:val="002B4693"/>
    <w:rsid w:val="002B4DCC"/>
    <w:rsid w:val="002B5682"/>
    <w:rsid w:val="002B5709"/>
    <w:rsid w:val="002B570E"/>
    <w:rsid w:val="002B57BF"/>
    <w:rsid w:val="002B5A0A"/>
    <w:rsid w:val="002B5C16"/>
    <w:rsid w:val="002B67B6"/>
    <w:rsid w:val="002B6E57"/>
    <w:rsid w:val="002B7828"/>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1D7"/>
    <w:rsid w:val="002D0411"/>
    <w:rsid w:val="002D089D"/>
    <w:rsid w:val="002D0AC5"/>
    <w:rsid w:val="002D22E1"/>
    <w:rsid w:val="002D2431"/>
    <w:rsid w:val="002D376B"/>
    <w:rsid w:val="002D388D"/>
    <w:rsid w:val="002D4035"/>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95F"/>
    <w:rsid w:val="002F2E08"/>
    <w:rsid w:val="002F3916"/>
    <w:rsid w:val="002F4482"/>
    <w:rsid w:val="002F4EA6"/>
    <w:rsid w:val="002F52F0"/>
    <w:rsid w:val="002F5A74"/>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B2"/>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DC4"/>
    <w:rsid w:val="00323333"/>
    <w:rsid w:val="00326470"/>
    <w:rsid w:val="0032680B"/>
    <w:rsid w:val="00327A0A"/>
    <w:rsid w:val="00330402"/>
    <w:rsid w:val="00330726"/>
    <w:rsid w:val="00331743"/>
    <w:rsid w:val="00331A95"/>
    <w:rsid w:val="0033214B"/>
    <w:rsid w:val="00332607"/>
    <w:rsid w:val="00332799"/>
    <w:rsid w:val="003329D4"/>
    <w:rsid w:val="00332D35"/>
    <w:rsid w:val="00334333"/>
    <w:rsid w:val="003345FD"/>
    <w:rsid w:val="00334E7A"/>
    <w:rsid w:val="00334F3F"/>
    <w:rsid w:val="003353F7"/>
    <w:rsid w:val="00335467"/>
    <w:rsid w:val="00335DAE"/>
    <w:rsid w:val="00335E2F"/>
    <w:rsid w:val="00336A15"/>
    <w:rsid w:val="00336A25"/>
    <w:rsid w:val="00337490"/>
    <w:rsid w:val="0033781B"/>
    <w:rsid w:val="00340981"/>
    <w:rsid w:val="003409D7"/>
    <w:rsid w:val="0034116E"/>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6C5A"/>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D5B"/>
    <w:rsid w:val="00360379"/>
    <w:rsid w:val="00361A94"/>
    <w:rsid w:val="003632BE"/>
    <w:rsid w:val="00363D92"/>
    <w:rsid w:val="00364E50"/>
    <w:rsid w:val="0036527D"/>
    <w:rsid w:val="003659DF"/>
    <w:rsid w:val="00366B08"/>
    <w:rsid w:val="0036740C"/>
    <w:rsid w:val="00367EC9"/>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71E"/>
    <w:rsid w:val="0037787F"/>
    <w:rsid w:val="00377D0F"/>
    <w:rsid w:val="00377E8D"/>
    <w:rsid w:val="00381436"/>
    <w:rsid w:val="00381523"/>
    <w:rsid w:val="0038187B"/>
    <w:rsid w:val="00382341"/>
    <w:rsid w:val="00382B0F"/>
    <w:rsid w:val="00382F1F"/>
    <w:rsid w:val="003846F6"/>
    <w:rsid w:val="00385194"/>
    <w:rsid w:val="00385EED"/>
    <w:rsid w:val="0038722F"/>
    <w:rsid w:val="003911C3"/>
    <w:rsid w:val="00391D25"/>
    <w:rsid w:val="0039253F"/>
    <w:rsid w:val="00392A69"/>
    <w:rsid w:val="00393131"/>
    <w:rsid w:val="00393354"/>
    <w:rsid w:val="003933A6"/>
    <w:rsid w:val="003943A5"/>
    <w:rsid w:val="0039497F"/>
    <w:rsid w:val="00394DE8"/>
    <w:rsid w:val="00395575"/>
    <w:rsid w:val="00396EA5"/>
    <w:rsid w:val="00397C3D"/>
    <w:rsid w:val="003A02A6"/>
    <w:rsid w:val="003A131C"/>
    <w:rsid w:val="003A2052"/>
    <w:rsid w:val="003A30E5"/>
    <w:rsid w:val="003A47A7"/>
    <w:rsid w:val="003A5E12"/>
    <w:rsid w:val="003A5FDB"/>
    <w:rsid w:val="003A6D10"/>
    <w:rsid w:val="003A7D38"/>
    <w:rsid w:val="003B08B6"/>
    <w:rsid w:val="003B0EE5"/>
    <w:rsid w:val="003B138B"/>
    <w:rsid w:val="003B15B5"/>
    <w:rsid w:val="003B1965"/>
    <w:rsid w:val="003B1B73"/>
    <w:rsid w:val="003B1C51"/>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400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F46"/>
    <w:rsid w:val="003D76F4"/>
    <w:rsid w:val="003D7A7B"/>
    <w:rsid w:val="003E338E"/>
    <w:rsid w:val="003E388E"/>
    <w:rsid w:val="003E44A6"/>
    <w:rsid w:val="003E4790"/>
    <w:rsid w:val="003E53A1"/>
    <w:rsid w:val="003E55FB"/>
    <w:rsid w:val="003E56E9"/>
    <w:rsid w:val="003E59C7"/>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65"/>
    <w:rsid w:val="00414F7F"/>
    <w:rsid w:val="0041614E"/>
    <w:rsid w:val="0041629D"/>
    <w:rsid w:val="00416AAD"/>
    <w:rsid w:val="004171AA"/>
    <w:rsid w:val="004174AF"/>
    <w:rsid w:val="004202FF"/>
    <w:rsid w:val="004208ED"/>
    <w:rsid w:val="004212D9"/>
    <w:rsid w:val="00421A1A"/>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47E7B"/>
    <w:rsid w:val="00450EE2"/>
    <w:rsid w:val="004513DD"/>
    <w:rsid w:val="00451472"/>
    <w:rsid w:val="00451970"/>
    <w:rsid w:val="00452027"/>
    <w:rsid w:val="004524C0"/>
    <w:rsid w:val="00452A6B"/>
    <w:rsid w:val="00452CF9"/>
    <w:rsid w:val="00453162"/>
    <w:rsid w:val="004547E7"/>
    <w:rsid w:val="00454EA3"/>
    <w:rsid w:val="004559CB"/>
    <w:rsid w:val="00455DF0"/>
    <w:rsid w:val="00455E20"/>
    <w:rsid w:val="00455F53"/>
    <w:rsid w:val="00456252"/>
    <w:rsid w:val="00456782"/>
    <w:rsid w:val="00456ABF"/>
    <w:rsid w:val="00457115"/>
    <w:rsid w:val="00457791"/>
    <w:rsid w:val="00457AAB"/>
    <w:rsid w:val="00457C51"/>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72B"/>
    <w:rsid w:val="0046594C"/>
    <w:rsid w:val="0046630D"/>
    <w:rsid w:val="00466726"/>
    <w:rsid w:val="00466846"/>
    <w:rsid w:val="0046690A"/>
    <w:rsid w:val="00467C16"/>
    <w:rsid w:val="00472C7C"/>
    <w:rsid w:val="00472FCB"/>
    <w:rsid w:val="0047364F"/>
    <w:rsid w:val="00473F14"/>
    <w:rsid w:val="004755AE"/>
    <w:rsid w:val="004757A5"/>
    <w:rsid w:val="00475BC5"/>
    <w:rsid w:val="004769EE"/>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0A90"/>
    <w:rsid w:val="004915BE"/>
    <w:rsid w:val="00492C34"/>
    <w:rsid w:val="00493133"/>
    <w:rsid w:val="00495448"/>
    <w:rsid w:val="0049568F"/>
    <w:rsid w:val="00496484"/>
    <w:rsid w:val="004966D7"/>
    <w:rsid w:val="00497024"/>
    <w:rsid w:val="0049707D"/>
    <w:rsid w:val="00497436"/>
    <w:rsid w:val="0049764D"/>
    <w:rsid w:val="00497DDB"/>
    <w:rsid w:val="004A0A58"/>
    <w:rsid w:val="004A17CF"/>
    <w:rsid w:val="004A1918"/>
    <w:rsid w:val="004A2078"/>
    <w:rsid w:val="004A2495"/>
    <w:rsid w:val="004A419F"/>
    <w:rsid w:val="004A4452"/>
    <w:rsid w:val="004A4D41"/>
    <w:rsid w:val="004A575D"/>
    <w:rsid w:val="004A5F35"/>
    <w:rsid w:val="004A6196"/>
    <w:rsid w:val="004A638D"/>
    <w:rsid w:val="004A640A"/>
    <w:rsid w:val="004A73BB"/>
    <w:rsid w:val="004B0336"/>
    <w:rsid w:val="004B0679"/>
    <w:rsid w:val="004B0F53"/>
    <w:rsid w:val="004B13AF"/>
    <w:rsid w:val="004B35D3"/>
    <w:rsid w:val="004B374C"/>
    <w:rsid w:val="004B3800"/>
    <w:rsid w:val="004B3A88"/>
    <w:rsid w:val="004B3C58"/>
    <w:rsid w:val="004B40D5"/>
    <w:rsid w:val="004B4501"/>
    <w:rsid w:val="004B4E03"/>
    <w:rsid w:val="004B500B"/>
    <w:rsid w:val="004B5977"/>
    <w:rsid w:val="004B65EF"/>
    <w:rsid w:val="004B6621"/>
    <w:rsid w:val="004B6B49"/>
    <w:rsid w:val="004B7473"/>
    <w:rsid w:val="004B7C58"/>
    <w:rsid w:val="004B7CEA"/>
    <w:rsid w:val="004C0F09"/>
    <w:rsid w:val="004C1363"/>
    <w:rsid w:val="004C2072"/>
    <w:rsid w:val="004C237D"/>
    <w:rsid w:val="004C2C0B"/>
    <w:rsid w:val="004C4782"/>
    <w:rsid w:val="004C47CD"/>
    <w:rsid w:val="004C498C"/>
    <w:rsid w:val="004C4E6A"/>
    <w:rsid w:val="004C53CE"/>
    <w:rsid w:val="004C5533"/>
    <w:rsid w:val="004C5732"/>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E4A"/>
    <w:rsid w:val="004E34D0"/>
    <w:rsid w:val="004E3A7E"/>
    <w:rsid w:val="004E3FEC"/>
    <w:rsid w:val="004E43EE"/>
    <w:rsid w:val="004E66BF"/>
    <w:rsid w:val="004E6EC6"/>
    <w:rsid w:val="004E7643"/>
    <w:rsid w:val="004E7C66"/>
    <w:rsid w:val="004F007C"/>
    <w:rsid w:val="004F10B7"/>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2C0A"/>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388"/>
    <w:rsid w:val="00537B76"/>
    <w:rsid w:val="00537D20"/>
    <w:rsid w:val="005409A3"/>
    <w:rsid w:val="00541B64"/>
    <w:rsid w:val="005427D0"/>
    <w:rsid w:val="00542D52"/>
    <w:rsid w:val="005434E2"/>
    <w:rsid w:val="00543696"/>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13AA"/>
    <w:rsid w:val="00562CB9"/>
    <w:rsid w:val="00563187"/>
    <w:rsid w:val="00563A58"/>
    <w:rsid w:val="00564748"/>
    <w:rsid w:val="00564890"/>
    <w:rsid w:val="0056509D"/>
    <w:rsid w:val="00565470"/>
    <w:rsid w:val="00565A51"/>
    <w:rsid w:val="00565C57"/>
    <w:rsid w:val="00565CFA"/>
    <w:rsid w:val="00565E34"/>
    <w:rsid w:val="00566AD1"/>
    <w:rsid w:val="00566E0F"/>
    <w:rsid w:val="005703F0"/>
    <w:rsid w:val="00570978"/>
    <w:rsid w:val="005709F9"/>
    <w:rsid w:val="00570B4A"/>
    <w:rsid w:val="00570FC7"/>
    <w:rsid w:val="005712EE"/>
    <w:rsid w:val="00571F8B"/>
    <w:rsid w:val="00571FC9"/>
    <w:rsid w:val="00572EF4"/>
    <w:rsid w:val="00572EFF"/>
    <w:rsid w:val="00573245"/>
    <w:rsid w:val="00573283"/>
    <w:rsid w:val="00573387"/>
    <w:rsid w:val="005739E4"/>
    <w:rsid w:val="00574A2A"/>
    <w:rsid w:val="00574EC9"/>
    <w:rsid w:val="005751EA"/>
    <w:rsid w:val="005753E4"/>
    <w:rsid w:val="0057547F"/>
    <w:rsid w:val="005758ED"/>
    <w:rsid w:val="00576743"/>
    <w:rsid w:val="00577653"/>
    <w:rsid w:val="00581F2A"/>
    <w:rsid w:val="0058272A"/>
    <w:rsid w:val="00582FC6"/>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757"/>
    <w:rsid w:val="005C1913"/>
    <w:rsid w:val="005C3453"/>
    <w:rsid w:val="005C3768"/>
    <w:rsid w:val="005C380E"/>
    <w:rsid w:val="005C39AB"/>
    <w:rsid w:val="005C4315"/>
    <w:rsid w:val="005C4A3A"/>
    <w:rsid w:val="005C555C"/>
    <w:rsid w:val="005C565E"/>
    <w:rsid w:val="005C5AB9"/>
    <w:rsid w:val="005C6000"/>
    <w:rsid w:val="005C7161"/>
    <w:rsid w:val="005D13B7"/>
    <w:rsid w:val="005D1565"/>
    <w:rsid w:val="005D1A39"/>
    <w:rsid w:val="005D1BE4"/>
    <w:rsid w:val="005D3DDC"/>
    <w:rsid w:val="005D5038"/>
    <w:rsid w:val="005D5D36"/>
    <w:rsid w:val="005D642C"/>
    <w:rsid w:val="005D68E4"/>
    <w:rsid w:val="005D7030"/>
    <w:rsid w:val="005D71E6"/>
    <w:rsid w:val="005D7339"/>
    <w:rsid w:val="005E04A8"/>
    <w:rsid w:val="005E08C8"/>
    <w:rsid w:val="005E0AA4"/>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D68"/>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369"/>
    <w:rsid w:val="00605031"/>
    <w:rsid w:val="00605564"/>
    <w:rsid w:val="00605E44"/>
    <w:rsid w:val="0060647B"/>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27C39"/>
    <w:rsid w:val="00627EFA"/>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08EC"/>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2D3D"/>
    <w:rsid w:val="006732CC"/>
    <w:rsid w:val="00673369"/>
    <w:rsid w:val="00673809"/>
    <w:rsid w:val="006738B1"/>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7C9"/>
    <w:rsid w:val="006D6923"/>
    <w:rsid w:val="006D76CC"/>
    <w:rsid w:val="006D798B"/>
    <w:rsid w:val="006E083B"/>
    <w:rsid w:val="006E0A50"/>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6EA4"/>
    <w:rsid w:val="007008E2"/>
    <w:rsid w:val="00700B7B"/>
    <w:rsid w:val="00702B9C"/>
    <w:rsid w:val="00703DA0"/>
    <w:rsid w:val="00703FC8"/>
    <w:rsid w:val="0070411F"/>
    <w:rsid w:val="00704131"/>
    <w:rsid w:val="00705D8F"/>
    <w:rsid w:val="007064B7"/>
    <w:rsid w:val="00706F61"/>
    <w:rsid w:val="00707BE9"/>
    <w:rsid w:val="00710487"/>
    <w:rsid w:val="007113FC"/>
    <w:rsid w:val="00711604"/>
    <w:rsid w:val="007119D9"/>
    <w:rsid w:val="00711AEE"/>
    <w:rsid w:val="007124CA"/>
    <w:rsid w:val="00712716"/>
    <w:rsid w:val="0071282C"/>
    <w:rsid w:val="00712AAA"/>
    <w:rsid w:val="00712F45"/>
    <w:rsid w:val="00712F6B"/>
    <w:rsid w:val="00712FEE"/>
    <w:rsid w:val="007135D7"/>
    <w:rsid w:val="00713F37"/>
    <w:rsid w:val="007158A8"/>
    <w:rsid w:val="00715B41"/>
    <w:rsid w:val="007171CC"/>
    <w:rsid w:val="0071788D"/>
    <w:rsid w:val="00721C1C"/>
    <w:rsid w:val="00723F16"/>
    <w:rsid w:val="00726501"/>
    <w:rsid w:val="007277C8"/>
    <w:rsid w:val="00727C81"/>
    <w:rsid w:val="00727EEB"/>
    <w:rsid w:val="00730909"/>
    <w:rsid w:val="0073138D"/>
    <w:rsid w:val="007314ED"/>
    <w:rsid w:val="0073188C"/>
    <w:rsid w:val="00732332"/>
    <w:rsid w:val="00732768"/>
    <w:rsid w:val="00733049"/>
    <w:rsid w:val="007359F6"/>
    <w:rsid w:val="00735A21"/>
    <w:rsid w:val="00735DA7"/>
    <w:rsid w:val="0073752F"/>
    <w:rsid w:val="00737BD4"/>
    <w:rsid w:val="00737BEE"/>
    <w:rsid w:val="00740450"/>
    <w:rsid w:val="0074063F"/>
    <w:rsid w:val="00740929"/>
    <w:rsid w:val="00741833"/>
    <w:rsid w:val="00741C16"/>
    <w:rsid w:val="0074297A"/>
    <w:rsid w:val="0074324A"/>
    <w:rsid w:val="00743613"/>
    <w:rsid w:val="007445DA"/>
    <w:rsid w:val="00744686"/>
    <w:rsid w:val="007452D9"/>
    <w:rsid w:val="007458C8"/>
    <w:rsid w:val="00745E80"/>
    <w:rsid w:val="00746153"/>
    <w:rsid w:val="00746724"/>
    <w:rsid w:val="00746A29"/>
    <w:rsid w:val="00746E36"/>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67CB3"/>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1F1F"/>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299"/>
    <w:rsid w:val="007A6313"/>
    <w:rsid w:val="007A69A4"/>
    <w:rsid w:val="007A6E8A"/>
    <w:rsid w:val="007A6F84"/>
    <w:rsid w:val="007A7032"/>
    <w:rsid w:val="007A7B13"/>
    <w:rsid w:val="007B09EB"/>
    <w:rsid w:val="007B1405"/>
    <w:rsid w:val="007B159D"/>
    <w:rsid w:val="007B1B97"/>
    <w:rsid w:val="007B1BD1"/>
    <w:rsid w:val="007B3994"/>
    <w:rsid w:val="007B4CE5"/>
    <w:rsid w:val="007B5833"/>
    <w:rsid w:val="007B59C6"/>
    <w:rsid w:val="007B5FBB"/>
    <w:rsid w:val="007B6999"/>
    <w:rsid w:val="007B6E46"/>
    <w:rsid w:val="007C1422"/>
    <w:rsid w:val="007C15B6"/>
    <w:rsid w:val="007C1EE7"/>
    <w:rsid w:val="007C2212"/>
    <w:rsid w:val="007C2801"/>
    <w:rsid w:val="007C44B3"/>
    <w:rsid w:val="007C4781"/>
    <w:rsid w:val="007C4867"/>
    <w:rsid w:val="007C51B1"/>
    <w:rsid w:val="007C54C3"/>
    <w:rsid w:val="007C72F8"/>
    <w:rsid w:val="007C7427"/>
    <w:rsid w:val="007D0EF1"/>
    <w:rsid w:val="007D1077"/>
    <w:rsid w:val="007D1286"/>
    <w:rsid w:val="007D25C6"/>
    <w:rsid w:val="007D2BF7"/>
    <w:rsid w:val="007D2E2C"/>
    <w:rsid w:val="007D3C31"/>
    <w:rsid w:val="007D41C8"/>
    <w:rsid w:val="007D4279"/>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E7AAE"/>
    <w:rsid w:val="007F1E49"/>
    <w:rsid w:val="007F1E7C"/>
    <w:rsid w:val="007F229E"/>
    <w:rsid w:val="007F4636"/>
    <w:rsid w:val="007F4FDF"/>
    <w:rsid w:val="007F52BF"/>
    <w:rsid w:val="007F5884"/>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4D39"/>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116"/>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34E"/>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9B4"/>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DF1"/>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0DCF"/>
    <w:rsid w:val="008B1CD1"/>
    <w:rsid w:val="008B21BA"/>
    <w:rsid w:val="008B27AF"/>
    <w:rsid w:val="008B27E0"/>
    <w:rsid w:val="008B3011"/>
    <w:rsid w:val="008B3680"/>
    <w:rsid w:val="008B3B22"/>
    <w:rsid w:val="008B3BD8"/>
    <w:rsid w:val="008B4918"/>
    <w:rsid w:val="008B4E1D"/>
    <w:rsid w:val="008B50FF"/>
    <w:rsid w:val="008B5C79"/>
    <w:rsid w:val="008B787D"/>
    <w:rsid w:val="008B792C"/>
    <w:rsid w:val="008C0652"/>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B4D"/>
    <w:rsid w:val="008F1C82"/>
    <w:rsid w:val="008F2583"/>
    <w:rsid w:val="008F2BA7"/>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2D8B"/>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653"/>
    <w:rsid w:val="0094078A"/>
    <w:rsid w:val="00941756"/>
    <w:rsid w:val="00941B87"/>
    <w:rsid w:val="00941CC8"/>
    <w:rsid w:val="00942839"/>
    <w:rsid w:val="00942DB0"/>
    <w:rsid w:val="00943055"/>
    <w:rsid w:val="009434B2"/>
    <w:rsid w:val="00943531"/>
    <w:rsid w:val="009435CB"/>
    <w:rsid w:val="00943D25"/>
    <w:rsid w:val="009442CD"/>
    <w:rsid w:val="00944719"/>
    <w:rsid w:val="00945153"/>
    <w:rsid w:val="00945D6D"/>
    <w:rsid w:val="009462F0"/>
    <w:rsid w:val="00947D60"/>
    <w:rsid w:val="00950D94"/>
    <w:rsid w:val="009514D8"/>
    <w:rsid w:val="00951CA4"/>
    <w:rsid w:val="00951F78"/>
    <w:rsid w:val="0095264F"/>
    <w:rsid w:val="00952C01"/>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ECA"/>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B3"/>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9F8"/>
    <w:rsid w:val="009A7C3F"/>
    <w:rsid w:val="009B033E"/>
    <w:rsid w:val="009B0B27"/>
    <w:rsid w:val="009B13EB"/>
    <w:rsid w:val="009B14E4"/>
    <w:rsid w:val="009B1571"/>
    <w:rsid w:val="009B16C1"/>
    <w:rsid w:val="009B231E"/>
    <w:rsid w:val="009B2522"/>
    <w:rsid w:val="009B2E64"/>
    <w:rsid w:val="009B2F66"/>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A30"/>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25D"/>
    <w:rsid w:val="00A21D3B"/>
    <w:rsid w:val="00A22467"/>
    <w:rsid w:val="00A224F7"/>
    <w:rsid w:val="00A231C8"/>
    <w:rsid w:val="00A23930"/>
    <w:rsid w:val="00A23B5F"/>
    <w:rsid w:val="00A24018"/>
    <w:rsid w:val="00A25B01"/>
    <w:rsid w:val="00A25BCB"/>
    <w:rsid w:val="00A27471"/>
    <w:rsid w:val="00A27C01"/>
    <w:rsid w:val="00A27CEA"/>
    <w:rsid w:val="00A27DB0"/>
    <w:rsid w:val="00A30306"/>
    <w:rsid w:val="00A30712"/>
    <w:rsid w:val="00A30B31"/>
    <w:rsid w:val="00A31AF9"/>
    <w:rsid w:val="00A32078"/>
    <w:rsid w:val="00A32ED4"/>
    <w:rsid w:val="00A33568"/>
    <w:rsid w:val="00A3558C"/>
    <w:rsid w:val="00A37110"/>
    <w:rsid w:val="00A371DF"/>
    <w:rsid w:val="00A4084B"/>
    <w:rsid w:val="00A40A38"/>
    <w:rsid w:val="00A40E3F"/>
    <w:rsid w:val="00A4122E"/>
    <w:rsid w:val="00A419DB"/>
    <w:rsid w:val="00A41ECA"/>
    <w:rsid w:val="00A423F1"/>
    <w:rsid w:val="00A4298D"/>
    <w:rsid w:val="00A444B9"/>
    <w:rsid w:val="00A44546"/>
    <w:rsid w:val="00A4458C"/>
    <w:rsid w:val="00A447D1"/>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293F"/>
    <w:rsid w:val="00A63016"/>
    <w:rsid w:val="00A630DB"/>
    <w:rsid w:val="00A633EE"/>
    <w:rsid w:val="00A63600"/>
    <w:rsid w:val="00A63ABF"/>
    <w:rsid w:val="00A63D0C"/>
    <w:rsid w:val="00A63E46"/>
    <w:rsid w:val="00A63E47"/>
    <w:rsid w:val="00A643C8"/>
    <w:rsid w:val="00A647A0"/>
    <w:rsid w:val="00A6509F"/>
    <w:rsid w:val="00A65221"/>
    <w:rsid w:val="00A65BEC"/>
    <w:rsid w:val="00A65BFB"/>
    <w:rsid w:val="00A65C53"/>
    <w:rsid w:val="00A669CD"/>
    <w:rsid w:val="00A66A5C"/>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10C"/>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A5C"/>
    <w:rsid w:val="00AD0551"/>
    <w:rsid w:val="00AD16F4"/>
    <w:rsid w:val="00AD17C6"/>
    <w:rsid w:val="00AD32EE"/>
    <w:rsid w:val="00AD3D19"/>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0E35"/>
    <w:rsid w:val="00AF14FF"/>
    <w:rsid w:val="00AF23FF"/>
    <w:rsid w:val="00AF2521"/>
    <w:rsid w:val="00AF260E"/>
    <w:rsid w:val="00AF333D"/>
    <w:rsid w:val="00AF3D2E"/>
    <w:rsid w:val="00AF3E17"/>
    <w:rsid w:val="00AF4178"/>
    <w:rsid w:val="00AF478D"/>
    <w:rsid w:val="00AF498B"/>
    <w:rsid w:val="00AF54DB"/>
    <w:rsid w:val="00AF6AAB"/>
    <w:rsid w:val="00AF71A2"/>
    <w:rsid w:val="00AF71D0"/>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07FAE"/>
    <w:rsid w:val="00B10142"/>
    <w:rsid w:val="00B102C2"/>
    <w:rsid w:val="00B10DA4"/>
    <w:rsid w:val="00B11117"/>
    <w:rsid w:val="00B12918"/>
    <w:rsid w:val="00B12B99"/>
    <w:rsid w:val="00B1345D"/>
    <w:rsid w:val="00B13FDC"/>
    <w:rsid w:val="00B14430"/>
    <w:rsid w:val="00B179A6"/>
    <w:rsid w:val="00B20303"/>
    <w:rsid w:val="00B22466"/>
    <w:rsid w:val="00B226C9"/>
    <w:rsid w:val="00B237D2"/>
    <w:rsid w:val="00B2466D"/>
    <w:rsid w:val="00B24D30"/>
    <w:rsid w:val="00B25BCC"/>
    <w:rsid w:val="00B26C48"/>
    <w:rsid w:val="00B27014"/>
    <w:rsid w:val="00B27947"/>
    <w:rsid w:val="00B27A68"/>
    <w:rsid w:val="00B27BC6"/>
    <w:rsid w:val="00B27FCA"/>
    <w:rsid w:val="00B30BD3"/>
    <w:rsid w:val="00B30F3C"/>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6F62"/>
    <w:rsid w:val="00B47E12"/>
    <w:rsid w:val="00B47E83"/>
    <w:rsid w:val="00B50092"/>
    <w:rsid w:val="00B50A03"/>
    <w:rsid w:val="00B5129A"/>
    <w:rsid w:val="00B51F54"/>
    <w:rsid w:val="00B52055"/>
    <w:rsid w:val="00B5212D"/>
    <w:rsid w:val="00B52565"/>
    <w:rsid w:val="00B52752"/>
    <w:rsid w:val="00B5316A"/>
    <w:rsid w:val="00B532AB"/>
    <w:rsid w:val="00B53634"/>
    <w:rsid w:val="00B53C33"/>
    <w:rsid w:val="00B53DAE"/>
    <w:rsid w:val="00B54A8B"/>
    <w:rsid w:val="00B5523D"/>
    <w:rsid w:val="00B5552C"/>
    <w:rsid w:val="00B56415"/>
    <w:rsid w:val="00B567B9"/>
    <w:rsid w:val="00B56A71"/>
    <w:rsid w:val="00B5747E"/>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5D85"/>
    <w:rsid w:val="00B76181"/>
    <w:rsid w:val="00B76DED"/>
    <w:rsid w:val="00B76ED4"/>
    <w:rsid w:val="00B777AB"/>
    <w:rsid w:val="00B808C5"/>
    <w:rsid w:val="00B80926"/>
    <w:rsid w:val="00B812F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0E95"/>
    <w:rsid w:val="00B91413"/>
    <w:rsid w:val="00B92291"/>
    <w:rsid w:val="00B93465"/>
    <w:rsid w:val="00B942C0"/>
    <w:rsid w:val="00B94586"/>
    <w:rsid w:val="00B948B2"/>
    <w:rsid w:val="00B94DC1"/>
    <w:rsid w:val="00B96010"/>
    <w:rsid w:val="00B9654E"/>
    <w:rsid w:val="00B974FA"/>
    <w:rsid w:val="00BA0215"/>
    <w:rsid w:val="00BA03F8"/>
    <w:rsid w:val="00BA0BBA"/>
    <w:rsid w:val="00BA102A"/>
    <w:rsid w:val="00BA1835"/>
    <w:rsid w:val="00BA2161"/>
    <w:rsid w:val="00BA448D"/>
    <w:rsid w:val="00BA4C4B"/>
    <w:rsid w:val="00BA5614"/>
    <w:rsid w:val="00BA61A6"/>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0E5A"/>
    <w:rsid w:val="00BC1B99"/>
    <w:rsid w:val="00BC220A"/>
    <w:rsid w:val="00BC23E7"/>
    <w:rsid w:val="00BC2BE2"/>
    <w:rsid w:val="00BC3645"/>
    <w:rsid w:val="00BC39A8"/>
    <w:rsid w:val="00BC46B4"/>
    <w:rsid w:val="00BC4730"/>
    <w:rsid w:val="00BC51BC"/>
    <w:rsid w:val="00BC5767"/>
    <w:rsid w:val="00BC5799"/>
    <w:rsid w:val="00BC5B4B"/>
    <w:rsid w:val="00BC6681"/>
    <w:rsid w:val="00BC7546"/>
    <w:rsid w:val="00BC7789"/>
    <w:rsid w:val="00BC7D00"/>
    <w:rsid w:val="00BD029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8F3"/>
    <w:rsid w:val="00BD6D43"/>
    <w:rsid w:val="00BD6E58"/>
    <w:rsid w:val="00BD707E"/>
    <w:rsid w:val="00BD7689"/>
    <w:rsid w:val="00BD7A42"/>
    <w:rsid w:val="00BE1681"/>
    <w:rsid w:val="00BE19E9"/>
    <w:rsid w:val="00BE1C49"/>
    <w:rsid w:val="00BE238F"/>
    <w:rsid w:val="00BE298A"/>
    <w:rsid w:val="00BE3AAB"/>
    <w:rsid w:val="00BE3E8D"/>
    <w:rsid w:val="00BE45F5"/>
    <w:rsid w:val="00BE4628"/>
    <w:rsid w:val="00BE49EF"/>
    <w:rsid w:val="00BE5B65"/>
    <w:rsid w:val="00BE6491"/>
    <w:rsid w:val="00BE6D81"/>
    <w:rsid w:val="00BE6FEF"/>
    <w:rsid w:val="00BF09E7"/>
    <w:rsid w:val="00BF12A7"/>
    <w:rsid w:val="00BF2553"/>
    <w:rsid w:val="00BF3383"/>
    <w:rsid w:val="00BF3C7C"/>
    <w:rsid w:val="00BF3D49"/>
    <w:rsid w:val="00BF4380"/>
    <w:rsid w:val="00BF635A"/>
    <w:rsid w:val="00C00901"/>
    <w:rsid w:val="00C01002"/>
    <w:rsid w:val="00C01E37"/>
    <w:rsid w:val="00C02284"/>
    <w:rsid w:val="00C02A7C"/>
    <w:rsid w:val="00C02DD0"/>
    <w:rsid w:val="00C03CF9"/>
    <w:rsid w:val="00C03F7D"/>
    <w:rsid w:val="00C04E63"/>
    <w:rsid w:val="00C0544A"/>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61B5"/>
    <w:rsid w:val="00C17101"/>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3DE"/>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0EBF"/>
    <w:rsid w:val="00C4132B"/>
    <w:rsid w:val="00C41BE6"/>
    <w:rsid w:val="00C421EA"/>
    <w:rsid w:val="00C422E0"/>
    <w:rsid w:val="00C425B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D8"/>
    <w:rsid w:val="00C619FC"/>
    <w:rsid w:val="00C62575"/>
    <w:rsid w:val="00C6319D"/>
    <w:rsid w:val="00C636ED"/>
    <w:rsid w:val="00C642D6"/>
    <w:rsid w:val="00C64A61"/>
    <w:rsid w:val="00C64BD2"/>
    <w:rsid w:val="00C65B3A"/>
    <w:rsid w:val="00C66881"/>
    <w:rsid w:val="00C67B59"/>
    <w:rsid w:val="00C704C4"/>
    <w:rsid w:val="00C704E1"/>
    <w:rsid w:val="00C70881"/>
    <w:rsid w:val="00C70EE9"/>
    <w:rsid w:val="00C715C2"/>
    <w:rsid w:val="00C71E82"/>
    <w:rsid w:val="00C7208F"/>
    <w:rsid w:val="00C72489"/>
    <w:rsid w:val="00C7425B"/>
    <w:rsid w:val="00C7450C"/>
    <w:rsid w:val="00C74935"/>
    <w:rsid w:val="00C75453"/>
    <w:rsid w:val="00C75638"/>
    <w:rsid w:val="00C75B50"/>
    <w:rsid w:val="00C76406"/>
    <w:rsid w:val="00C766EF"/>
    <w:rsid w:val="00C7679E"/>
    <w:rsid w:val="00C7686D"/>
    <w:rsid w:val="00C76F0B"/>
    <w:rsid w:val="00C80983"/>
    <w:rsid w:val="00C81588"/>
    <w:rsid w:val="00C82394"/>
    <w:rsid w:val="00C830C0"/>
    <w:rsid w:val="00C8396A"/>
    <w:rsid w:val="00C84B80"/>
    <w:rsid w:val="00C856F6"/>
    <w:rsid w:val="00C85CBD"/>
    <w:rsid w:val="00C8772D"/>
    <w:rsid w:val="00C87E27"/>
    <w:rsid w:val="00C87E3E"/>
    <w:rsid w:val="00C901EB"/>
    <w:rsid w:val="00C919DF"/>
    <w:rsid w:val="00C91B0D"/>
    <w:rsid w:val="00C92CDF"/>
    <w:rsid w:val="00C93B30"/>
    <w:rsid w:val="00C93DB4"/>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54A"/>
    <w:rsid w:val="00CB0791"/>
    <w:rsid w:val="00CB0A52"/>
    <w:rsid w:val="00CB1441"/>
    <w:rsid w:val="00CB18B4"/>
    <w:rsid w:val="00CB2B0D"/>
    <w:rsid w:val="00CB2F70"/>
    <w:rsid w:val="00CB3A4F"/>
    <w:rsid w:val="00CB4407"/>
    <w:rsid w:val="00CB4E64"/>
    <w:rsid w:val="00CB527C"/>
    <w:rsid w:val="00CB66B0"/>
    <w:rsid w:val="00CB6EFC"/>
    <w:rsid w:val="00CC0338"/>
    <w:rsid w:val="00CC0490"/>
    <w:rsid w:val="00CC07AE"/>
    <w:rsid w:val="00CC0C4B"/>
    <w:rsid w:val="00CC11BB"/>
    <w:rsid w:val="00CC20FC"/>
    <w:rsid w:val="00CC2395"/>
    <w:rsid w:val="00CC271A"/>
    <w:rsid w:val="00CC3105"/>
    <w:rsid w:val="00CC3719"/>
    <w:rsid w:val="00CC3B2B"/>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61"/>
    <w:rsid w:val="00D043CD"/>
    <w:rsid w:val="00D04B39"/>
    <w:rsid w:val="00D05689"/>
    <w:rsid w:val="00D05F22"/>
    <w:rsid w:val="00D06A5D"/>
    <w:rsid w:val="00D07637"/>
    <w:rsid w:val="00D07A5A"/>
    <w:rsid w:val="00D07D1A"/>
    <w:rsid w:val="00D10016"/>
    <w:rsid w:val="00D10115"/>
    <w:rsid w:val="00D1016F"/>
    <w:rsid w:val="00D10347"/>
    <w:rsid w:val="00D109BC"/>
    <w:rsid w:val="00D10A32"/>
    <w:rsid w:val="00D12A30"/>
    <w:rsid w:val="00D13B09"/>
    <w:rsid w:val="00D13B4E"/>
    <w:rsid w:val="00D14287"/>
    <w:rsid w:val="00D146D4"/>
    <w:rsid w:val="00D14881"/>
    <w:rsid w:val="00D14889"/>
    <w:rsid w:val="00D148D0"/>
    <w:rsid w:val="00D15522"/>
    <w:rsid w:val="00D15609"/>
    <w:rsid w:val="00D15A79"/>
    <w:rsid w:val="00D15CE7"/>
    <w:rsid w:val="00D15E1A"/>
    <w:rsid w:val="00D1616B"/>
    <w:rsid w:val="00D17138"/>
    <w:rsid w:val="00D17795"/>
    <w:rsid w:val="00D17EF5"/>
    <w:rsid w:val="00D20699"/>
    <w:rsid w:val="00D209F4"/>
    <w:rsid w:val="00D20A75"/>
    <w:rsid w:val="00D215AF"/>
    <w:rsid w:val="00D21EFB"/>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949"/>
    <w:rsid w:val="00D31BE9"/>
    <w:rsid w:val="00D31DF3"/>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0BD"/>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6A0C"/>
    <w:rsid w:val="00D470D3"/>
    <w:rsid w:val="00D4714B"/>
    <w:rsid w:val="00D47292"/>
    <w:rsid w:val="00D47341"/>
    <w:rsid w:val="00D47776"/>
    <w:rsid w:val="00D478AE"/>
    <w:rsid w:val="00D47CAF"/>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5F2"/>
    <w:rsid w:val="00D62EDD"/>
    <w:rsid w:val="00D633F3"/>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1B29"/>
    <w:rsid w:val="00D72ADD"/>
    <w:rsid w:val="00D72C18"/>
    <w:rsid w:val="00D73EB0"/>
    <w:rsid w:val="00D74BB3"/>
    <w:rsid w:val="00D75055"/>
    <w:rsid w:val="00D75856"/>
    <w:rsid w:val="00D769F7"/>
    <w:rsid w:val="00D77967"/>
    <w:rsid w:val="00D77CA8"/>
    <w:rsid w:val="00D80719"/>
    <w:rsid w:val="00D8098F"/>
    <w:rsid w:val="00D81C18"/>
    <w:rsid w:val="00D82746"/>
    <w:rsid w:val="00D82C9F"/>
    <w:rsid w:val="00D841E4"/>
    <w:rsid w:val="00D8490F"/>
    <w:rsid w:val="00D849DD"/>
    <w:rsid w:val="00D84AE8"/>
    <w:rsid w:val="00D84C91"/>
    <w:rsid w:val="00D853BF"/>
    <w:rsid w:val="00D859D9"/>
    <w:rsid w:val="00D85CA9"/>
    <w:rsid w:val="00D85E4E"/>
    <w:rsid w:val="00D86577"/>
    <w:rsid w:val="00D86B96"/>
    <w:rsid w:val="00D8764D"/>
    <w:rsid w:val="00D87DD7"/>
    <w:rsid w:val="00D91584"/>
    <w:rsid w:val="00D91F6F"/>
    <w:rsid w:val="00D925C9"/>
    <w:rsid w:val="00D92C55"/>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5490"/>
    <w:rsid w:val="00DB5F1B"/>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6D5"/>
    <w:rsid w:val="00DD282C"/>
    <w:rsid w:val="00DD320E"/>
    <w:rsid w:val="00DD33C0"/>
    <w:rsid w:val="00DD3449"/>
    <w:rsid w:val="00DD41CB"/>
    <w:rsid w:val="00DD47DD"/>
    <w:rsid w:val="00DD64FE"/>
    <w:rsid w:val="00DD65F8"/>
    <w:rsid w:val="00DD67EC"/>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49B"/>
    <w:rsid w:val="00DE5A23"/>
    <w:rsid w:val="00DE5D35"/>
    <w:rsid w:val="00DE6CF0"/>
    <w:rsid w:val="00DE6FE3"/>
    <w:rsid w:val="00DE749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0484"/>
    <w:rsid w:val="00E111D6"/>
    <w:rsid w:val="00E11DF3"/>
    <w:rsid w:val="00E1202B"/>
    <w:rsid w:val="00E12552"/>
    <w:rsid w:val="00E12803"/>
    <w:rsid w:val="00E13355"/>
    <w:rsid w:val="00E14195"/>
    <w:rsid w:val="00E15078"/>
    <w:rsid w:val="00E1635E"/>
    <w:rsid w:val="00E1736E"/>
    <w:rsid w:val="00E20106"/>
    <w:rsid w:val="00E20A5E"/>
    <w:rsid w:val="00E20C79"/>
    <w:rsid w:val="00E2123A"/>
    <w:rsid w:val="00E215B3"/>
    <w:rsid w:val="00E2162C"/>
    <w:rsid w:val="00E21E54"/>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A1"/>
    <w:rsid w:val="00E32B6E"/>
    <w:rsid w:val="00E32DF9"/>
    <w:rsid w:val="00E33771"/>
    <w:rsid w:val="00E33847"/>
    <w:rsid w:val="00E344D2"/>
    <w:rsid w:val="00E356C3"/>
    <w:rsid w:val="00E3578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32B2"/>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8D4"/>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326C"/>
    <w:rsid w:val="00E83EA0"/>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5E8"/>
    <w:rsid w:val="00E97881"/>
    <w:rsid w:val="00EA0A7A"/>
    <w:rsid w:val="00EA0D64"/>
    <w:rsid w:val="00EA23C8"/>
    <w:rsid w:val="00EA3149"/>
    <w:rsid w:val="00EA31EE"/>
    <w:rsid w:val="00EA3976"/>
    <w:rsid w:val="00EA3F0C"/>
    <w:rsid w:val="00EA5864"/>
    <w:rsid w:val="00EA5DEE"/>
    <w:rsid w:val="00EA63F7"/>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B6011"/>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2C"/>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1EA4"/>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28D"/>
    <w:rsid w:val="00F029B9"/>
    <w:rsid w:val="00F0308B"/>
    <w:rsid w:val="00F0408C"/>
    <w:rsid w:val="00F0513F"/>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65D6"/>
    <w:rsid w:val="00F170D8"/>
    <w:rsid w:val="00F17ADD"/>
    <w:rsid w:val="00F17BE0"/>
    <w:rsid w:val="00F20599"/>
    <w:rsid w:val="00F216A3"/>
    <w:rsid w:val="00F21AE2"/>
    <w:rsid w:val="00F21C8C"/>
    <w:rsid w:val="00F227FD"/>
    <w:rsid w:val="00F22A0F"/>
    <w:rsid w:val="00F23969"/>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565"/>
    <w:rsid w:val="00F5066D"/>
    <w:rsid w:val="00F5093C"/>
    <w:rsid w:val="00F50C61"/>
    <w:rsid w:val="00F51555"/>
    <w:rsid w:val="00F5219E"/>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BDD"/>
    <w:rsid w:val="00F91CF5"/>
    <w:rsid w:val="00F9230B"/>
    <w:rsid w:val="00F92388"/>
    <w:rsid w:val="00F923F6"/>
    <w:rsid w:val="00F92BB9"/>
    <w:rsid w:val="00F92DC0"/>
    <w:rsid w:val="00F93C7B"/>
    <w:rsid w:val="00F93CCE"/>
    <w:rsid w:val="00F9404D"/>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0C9"/>
    <w:rsid w:val="00FC477B"/>
    <w:rsid w:val="00FC4D3D"/>
    <w:rsid w:val="00FC5BF1"/>
    <w:rsid w:val="00FC60BF"/>
    <w:rsid w:val="00FC63D8"/>
    <w:rsid w:val="00FC6961"/>
    <w:rsid w:val="00FC7D8D"/>
    <w:rsid w:val="00FD0F90"/>
    <w:rsid w:val="00FD1394"/>
    <w:rsid w:val="00FD1508"/>
    <w:rsid w:val="00FD1F1C"/>
    <w:rsid w:val="00FD2102"/>
    <w:rsid w:val="00FD2161"/>
    <w:rsid w:val="00FD2E4D"/>
    <w:rsid w:val="00FD2F3E"/>
    <w:rsid w:val="00FD3EF3"/>
    <w:rsid w:val="00FD4031"/>
    <w:rsid w:val="00FD52BF"/>
    <w:rsid w:val="00FD5986"/>
    <w:rsid w:val="00FD6288"/>
    <w:rsid w:val="00FD6F65"/>
    <w:rsid w:val="00FE0B77"/>
    <w:rsid w:val="00FE0E0E"/>
    <w:rsid w:val="00FE0FC6"/>
    <w:rsid w:val="00FE1316"/>
    <w:rsid w:val="00FE136D"/>
    <w:rsid w:val="00FE1BC2"/>
    <w:rsid w:val="00FE1F2F"/>
    <w:rsid w:val="00FE2C1A"/>
    <w:rsid w:val="00FE2E13"/>
    <w:rsid w:val="00FE303F"/>
    <w:rsid w:val="00FE3889"/>
    <w:rsid w:val="00FE394F"/>
    <w:rsid w:val="00FE4069"/>
    <w:rsid w:val="00FE4294"/>
    <w:rsid w:val="00FE43E8"/>
    <w:rsid w:val="00FE499B"/>
    <w:rsid w:val="00FE501A"/>
    <w:rsid w:val="00FE61E9"/>
    <w:rsid w:val="00FE63D4"/>
    <w:rsid w:val="00FE6BAE"/>
    <w:rsid w:val="00FE7197"/>
    <w:rsid w:val="00FE7D66"/>
    <w:rsid w:val="00FE7F5C"/>
    <w:rsid w:val="00FF08B1"/>
    <w:rsid w:val="00FF0BEF"/>
    <w:rsid w:val="00FF0C42"/>
    <w:rsid w:val="00FF15E4"/>
    <w:rsid w:val="00FF1B00"/>
    <w:rsid w:val="00FF1B0A"/>
    <w:rsid w:val="00FF25BE"/>
    <w:rsid w:val="00FF379B"/>
    <w:rsid w:val="00FF3A04"/>
    <w:rsid w:val="00FF427C"/>
    <w:rsid w:val="00FF501A"/>
    <w:rsid w:val="00FF643A"/>
    <w:rsid w:val="00FF6C81"/>
    <w:rsid w:val="00FF6E4F"/>
    <w:rsid w:val="00FF7352"/>
    <w:rsid w:val="00FF77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6f7072">
      <v:fill color="none [3204]"/>
      <v:stroke color="#6f7072"/>
      <o:colormru v:ext="edit" colors="#fbba00"/>
    </o:shapedefaults>
    <o:shapelayout v:ext="edit">
      <o:idmap v:ext="edit" data="2"/>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751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5169"/>
    <w:rPr>
      <w:rFonts w:ascii="Tahoma" w:hAnsi="Tahoma" w:cs="Tahoma"/>
      <w:sz w:val="16"/>
      <w:szCs w:val="16"/>
    </w:rPr>
  </w:style>
  <w:style w:type="paragraph" w:styleId="Indholdsfortegnelse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typeiafsnit"/>
    <w:link w:val="Overskrift1"/>
    <w:uiPriority w:val="9"/>
    <w:rsid w:val="00CD0BD3"/>
    <w:rPr>
      <w:rFonts w:eastAsiaTheme="majorEastAsia" w:cstheme="majorBidi"/>
      <w:b/>
      <w:bCs/>
      <w:color w:val="5B7B90"/>
      <w:sz w:val="32"/>
      <w:szCs w:val="28"/>
      <w:lang w:val="en-GB" w:bidi="ar-QA"/>
    </w:rPr>
  </w:style>
  <w:style w:type="character" w:styleId="Pladsholdertekst">
    <w:name w:val="Placeholder Text"/>
    <w:basedOn w:val="Standardskrifttypeiafsnit"/>
    <w:uiPriority w:val="99"/>
    <w:semiHidden/>
    <w:rsid w:val="00C522FE"/>
    <w:rPr>
      <w:color w:val="808080"/>
    </w:rPr>
  </w:style>
  <w:style w:type="paragraph" w:styleId="Undertitel">
    <w:name w:val="Subtitle"/>
    <w:basedOn w:val="Normal"/>
    <w:next w:val="Normal"/>
    <w:link w:val="Underti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elTegn">
    <w:name w:val="Undertitel Tegn"/>
    <w:basedOn w:val="Standardskrifttypeiafsnit"/>
    <w:link w:val="Underti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genstitel">
    <w:name w:val="Book Title"/>
    <w:basedOn w:val="Standardskrifttypeiafsnit"/>
    <w:uiPriority w:val="33"/>
    <w:semiHidden/>
    <w:qFormat/>
    <w:rsid w:val="001E3932"/>
    <w:rPr>
      <w:b/>
      <w:bCs/>
      <w:smallCaps/>
      <w:spacing w:val="5"/>
    </w:rPr>
  </w:style>
  <w:style w:type="paragraph" w:styleId="Sidehoved">
    <w:name w:val="header"/>
    <w:basedOn w:val="Normal"/>
    <w:link w:val="SidehovedTegn"/>
    <w:uiPriority w:val="99"/>
    <w:rsid w:val="00452CF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6C1F4F"/>
  </w:style>
  <w:style w:type="paragraph" w:styleId="Sidefod">
    <w:name w:val="footer"/>
    <w:basedOn w:val="Normal"/>
    <w:link w:val="SidefodTegn"/>
    <w:uiPriority w:val="99"/>
    <w:rsid w:val="00DE0B5E"/>
    <w:pPr>
      <w:tabs>
        <w:tab w:val="center" w:pos="4536"/>
        <w:tab w:val="right" w:pos="9072"/>
      </w:tabs>
      <w:spacing w:after="0" w:line="240" w:lineRule="auto"/>
      <w:jc w:val="right"/>
    </w:pPr>
    <w:rPr>
      <w:color w:val="6F7072"/>
      <w:sz w:val="14"/>
    </w:rPr>
  </w:style>
  <w:style w:type="character" w:customStyle="1" w:styleId="SidefodTegn">
    <w:name w:val="Sidefod Tegn"/>
    <w:basedOn w:val="Standardskrifttypeiafsnit"/>
    <w:link w:val="Sidefod"/>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typeiafsni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typeiafsni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typeiafsni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fsnit">
    <w:name w:val="List Paragraph"/>
    <w:basedOn w:val="Normal"/>
    <w:link w:val="Listeafsni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typeiafsni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typeiafsni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typeiafsni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Opstilling-talellerbogst">
    <w:name w:val="List Number"/>
    <w:basedOn w:val="Normal"/>
    <w:uiPriority w:val="99"/>
    <w:semiHidden/>
    <w:rsid w:val="00105389"/>
    <w:pPr>
      <w:numPr>
        <w:numId w:val="1"/>
      </w:numPr>
      <w:contextualSpacing/>
    </w:pPr>
  </w:style>
  <w:style w:type="character" w:customStyle="1" w:styleId="Overskrift8Tegn">
    <w:name w:val="Overskrift 8 Tegn"/>
    <w:basedOn w:val="Standardskrifttypeiafsni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typeiafsnit"/>
    <w:link w:val="Overskrift9"/>
    <w:uiPriority w:val="9"/>
    <w:semiHidden/>
    <w:rsid w:val="00E97203"/>
    <w:rPr>
      <w:rFonts w:eastAsiaTheme="majorEastAsia" w:cstheme="majorBidi"/>
      <w:iCs/>
      <w:color w:val="5B7B90"/>
      <w:sz w:val="32"/>
      <w:szCs w:val="20"/>
      <w:lang w:val="en-GB"/>
    </w:rPr>
  </w:style>
  <w:style w:type="paragraph" w:styleId="Indholdsfortegnelse2">
    <w:name w:val="toc 2"/>
    <w:basedOn w:val="Indholdsfortegnelse1"/>
    <w:next w:val="Normal"/>
    <w:uiPriority w:val="39"/>
    <w:rsid w:val="006327F5"/>
    <w:pPr>
      <w:spacing w:before="0"/>
    </w:pPr>
    <w:rPr>
      <w:iCs w:val="0"/>
      <w:sz w:val="20"/>
      <w:szCs w:val="20"/>
    </w:rPr>
  </w:style>
  <w:style w:type="paragraph" w:styleId="Indholdsfortegnelse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link">
    <w:name w:val="Hyperlink"/>
    <w:basedOn w:val="Standardskrifttypeiafsnit"/>
    <w:uiPriority w:val="99"/>
    <w:unhideWhenUsed/>
    <w:rsid w:val="00631E4D"/>
    <w:rPr>
      <w:color w:val="4C6D88" w:themeColor="hyperlink"/>
      <w:u w:val="single"/>
    </w:rPr>
  </w:style>
  <w:style w:type="paragraph" w:styleId="Overskrift">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dholdsfortegnelse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dholdsfortegnelse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dholdsfortegnelse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dholdsfortegnelse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dholdsfortegnelse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dholdsfortegnelse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led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
    <w:name w:val="page number"/>
    <w:basedOn w:val="Standardskrifttypeiafsnit"/>
    <w:uiPriority w:val="99"/>
    <w:semiHidden/>
    <w:rsid w:val="00334F3F"/>
    <w:rPr>
      <w:rFonts w:ascii="Segoe UI Light" w:hAnsi="Segoe UI Light"/>
      <w:color w:val="4E4F50"/>
      <w:sz w:val="14"/>
    </w:rPr>
  </w:style>
  <w:style w:type="paragraph" w:customStyle="1" w:styleId="Fusszeile2">
    <w:name w:val="Fusszeile2"/>
    <w:basedOn w:val="Sidefod"/>
    <w:semiHidden/>
    <w:qFormat/>
    <w:rsid w:val="00F21AE2"/>
    <w:rPr>
      <w:noProof/>
    </w:rPr>
  </w:style>
  <w:style w:type="table" w:styleId="Tabel-Gitter">
    <w:name w:val="Table Grid"/>
    <w:basedOn w:val="Tabel-Norma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overfigurer">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ediumliste2-fremhvningsfarve1">
    <w:name w:val="Medium List 2 Accent 1"/>
    <w:basedOn w:val="Tabel-Norma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Tabel-Norma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Opstilling-punkttegn">
    <w:name w:val="List Bullet"/>
    <w:basedOn w:val="Blocksatz"/>
    <w:uiPriority w:val="99"/>
    <w:qFormat/>
    <w:rsid w:val="00E356C3"/>
    <w:pPr>
      <w:numPr>
        <w:numId w:val="9"/>
      </w:numPr>
      <w:contextualSpacing/>
    </w:pPr>
  </w:style>
  <w:style w:type="paragraph" w:styleId="Opstilling-punkttegn2">
    <w:name w:val="List Bullet 2"/>
    <w:basedOn w:val="Blocksatz"/>
    <w:uiPriority w:val="99"/>
    <w:qFormat/>
    <w:rsid w:val="00E356C3"/>
    <w:pPr>
      <w:numPr>
        <w:ilvl w:val="1"/>
        <w:numId w:val="9"/>
      </w:numPr>
      <w:contextualSpacing/>
    </w:pPr>
  </w:style>
  <w:style w:type="paragraph" w:styleId="Opstilling-punkttegn3">
    <w:name w:val="List Bullet 3"/>
    <w:basedOn w:val="Blocksatz"/>
    <w:uiPriority w:val="99"/>
    <w:qFormat/>
    <w:rsid w:val="00E356C3"/>
    <w:pPr>
      <w:numPr>
        <w:ilvl w:val="2"/>
        <w:numId w:val="9"/>
      </w:numPr>
      <w:contextualSpacing/>
    </w:pPr>
  </w:style>
  <w:style w:type="paragraph" w:styleId="Opstilling-punkttegn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typeiafsni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Opstilling-punkttegn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typeiafsni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dnotetekst">
    <w:name w:val="footnote text"/>
    <w:basedOn w:val="Normal"/>
    <w:link w:val="Fod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dnotetekstTegn">
    <w:name w:val="Fodnotetekst Tegn"/>
    <w:basedOn w:val="Standardskrifttypeiafsnit"/>
    <w:link w:val="Fodnotetekst"/>
    <w:uiPriority w:val="99"/>
    <w:rsid w:val="00010221"/>
    <w:rPr>
      <w:sz w:val="20"/>
      <w:szCs w:val="20"/>
    </w:rPr>
  </w:style>
  <w:style w:type="character" w:styleId="Fodnotehenvisning">
    <w:name w:val="footnote reference"/>
    <w:basedOn w:val="Standardskrifttypeiafsni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typeiafsni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typeiafsni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typeiafsni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typeiafsni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typeiafsnit"/>
    <w:link w:val="Aufzhlungszeichen6"/>
    <w:semiHidden/>
    <w:rsid w:val="005A6823"/>
    <w:rPr>
      <w:lang w:val="en-GB"/>
    </w:rPr>
  </w:style>
  <w:style w:type="character" w:styleId="Kommentarhenvisning">
    <w:name w:val="annotation reference"/>
    <w:aliases w:val="Stinking Styles6,Marque de commentaire1"/>
    <w:basedOn w:val="Standardskrifttypeiafsnit"/>
    <w:uiPriority w:val="99"/>
    <w:unhideWhenUsed/>
    <w:rsid w:val="008C5A4A"/>
    <w:rPr>
      <w:sz w:val="16"/>
      <w:szCs w:val="16"/>
    </w:rPr>
  </w:style>
  <w:style w:type="paragraph" w:styleId="Kommentartekst">
    <w:name w:val="annotation text"/>
    <w:aliases w:val="Stinking Styles5,Commentaire"/>
    <w:basedOn w:val="Normal"/>
    <w:link w:val="KommentartekstTegn"/>
    <w:uiPriority w:val="99"/>
    <w:unhideWhenUsed/>
    <w:rsid w:val="008C5A4A"/>
    <w:pPr>
      <w:spacing w:line="240" w:lineRule="auto"/>
    </w:pPr>
    <w:rPr>
      <w:sz w:val="20"/>
      <w:szCs w:val="20"/>
    </w:rPr>
  </w:style>
  <w:style w:type="character" w:customStyle="1" w:styleId="KommentartekstTegn">
    <w:name w:val="Kommentartekst Tegn"/>
    <w:aliases w:val="Stinking Styles5 Tegn,Commentaire Tegn"/>
    <w:basedOn w:val="Standardskrifttypeiafsnit"/>
    <w:link w:val="Kommentartekst"/>
    <w:uiPriority w:val="99"/>
    <w:rsid w:val="008C5A4A"/>
    <w:rPr>
      <w:sz w:val="20"/>
      <w:szCs w:val="20"/>
    </w:rPr>
  </w:style>
  <w:style w:type="paragraph" w:styleId="Kommentaremne">
    <w:name w:val="annotation subject"/>
    <w:basedOn w:val="Kommentartekst"/>
    <w:next w:val="Kommentartekst"/>
    <w:link w:val="KommentaremneTegn"/>
    <w:uiPriority w:val="99"/>
    <w:semiHidden/>
    <w:unhideWhenUsed/>
    <w:rsid w:val="008C5A4A"/>
    <w:rPr>
      <w:b/>
      <w:bCs/>
    </w:rPr>
  </w:style>
  <w:style w:type="character" w:customStyle="1" w:styleId="KommentaremneTegn">
    <w:name w:val="Kommentaremne Tegn"/>
    <w:basedOn w:val="KommentartekstTegn"/>
    <w:link w:val="Kommentaremne"/>
    <w:uiPriority w:val="99"/>
    <w:semiHidden/>
    <w:rsid w:val="008C5A4A"/>
    <w:rPr>
      <w:b/>
      <w:bCs/>
      <w:sz w:val="20"/>
      <w:szCs w:val="20"/>
    </w:rPr>
  </w:style>
  <w:style w:type="paragraph" w:styleId="Korrektur">
    <w:name w:val="Revision"/>
    <w:hidden/>
    <w:uiPriority w:val="99"/>
    <w:semiHidden/>
    <w:rsid w:val="00BD7A42"/>
    <w:pPr>
      <w:spacing w:after="0" w:line="240" w:lineRule="auto"/>
      <w:jc w:val="left"/>
    </w:pPr>
    <w:rPr>
      <w:lang w:val="en-GB"/>
    </w:rPr>
  </w:style>
  <w:style w:type="character" w:styleId="Strk">
    <w:name w:val="Strong"/>
    <w:basedOn w:val="Standardskrifttypeiafsnit"/>
    <w:uiPriority w:val="99"/>
    <w:qFormat/>
    <w:rsid w:val="004F1199"/>
    <w:rPr>
      <w:rFonts w:cs="Times New Roman"/>
      <w:b/>
      <w:bCs/>
    </w:rPr>
  </w:style>
  <w:style w:type="table" w:styleId="Lysliste-fremhvningsfarve2">
    <w:name w:val="Light List Accent 2"/>
    <w:basedOn w:val="Tabel-Norma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fremhvningsfarve4">
    <w:name w:val="Light List Accent 4"/>
    <w:basedOn w:val="Tabel-Norma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typeiafsnit"/>
    <w:link w:val="TSCBullets"/>
    <w:rsid w:val="00706F61"/>
    <w:rPr>
      <w:rFonts w:ascii="Verdana" w:eastAsia="Times New Roman" w:hAnsi="Verdana" w:cs="Arial"/>
      <w:sz w:val="20"/>
      <w:lang w:val="en-GB" w:eastAsia="de-DE"/>
    </w:rPr>
  </w:style>
  <w:style w:type="character" w:styleId="BesgtLink">
    <w:name w:val="FollowedHyperlink"/>
    <w:basedOn w:val="Standardskrifttypeiafsnit"/>
    <w:uiPriority w:val="99"/>
    <w:semiHidden/>
    <w:unhideWhenUsed/>
    <w:rsid w:val="00EC1D54"/>
    <w:rPr>
      <w:color w:val="AC6472" w:themeColor="followedHyperlink"/>
      <w:u w:val="single"/>
    </w:rPr>
  </w:style>
  <w:style w:type="paragraph" w:styleId="Sluthilsen">
    <w:name w:val="Closing"/>
    <w:basedOn w:val="Normal"/>
    <w:link w:val="Slut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SluthilsenTegn">
    <w:name w:val="Sluthilsen Tegn"/>
    <w:basedOn w:val="Standardskrifttypeiafsnit"/>
    <w:link w:val="Slut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typeiafsni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Tabel-Norma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fsnitTegn">
    <w:name w:val="Listeafsnit Tegn"/>
    <w:basedOn w:val="Standardskrifttypeiafsnit"/>
    <w:link w:val="Listeafsnit"/>
    <w:uiPriority w:val="34"/>
    <w:locked/>
    <w:rsid w:val="00373758"/>
    <w:rPr>
      <w:lang w:val="en-GB"/>
    </w:rPr>
  </w:style>
  <w:style w:type="table" w:customStyle="1" w:styleId="Vanligtabell31">
    <w:name w:val="Vanlig tabell 31"/>
    <w:basedOn w:val="Tabel-Norma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typeiafsni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typeiafsnit"/>
    <w:link w:val="Articlename"/>
    <w:rsid w:val="00B93465"/>
    <w:rPr>
      <w:rFonts w:ascii="Times New Roman" w:hAnsi="Times New Roman" w:cs="Times New Roman"/>
      <w:i/>
      <w:color w:val="6F7072" w:themeColor="text1"/>
      <w:sz w:val="24"/>
      <w:szCs w:val="24"/>
      <w:lang w:val="en-GB"/>
    </w:rPr>
  </w:style>
  <w:style w:type="paragraph" w:styleId="Opstilling-talellerbogst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Opstilling-talellerbogst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Opstilling-talellerbogst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typeiafsni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typeiafsni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typeiafsnit"/>
    <w:rsid w:val="00B93465"/>
    <w:rPr>
      <w:color w:val="0000FF"/>
      <w:shd w:val="clear" w:color="auto" w:fill="auto"/>
    </w:rPr>
  </w:style>
  <w:style w:type="character" w:customStyle="1" w:styleId="Marker1">
    <w:name w:val="Marker1"/>
    <w:basedOn w:val="Standardskrifttypeiafsnit"/>
    <w:rsid w:val="00B93465"/>
    <w:rPr>
      <w:color w:val="008000"/>
      <w:shd w:val="clear" w:color="auto" w:fill="auto"/>
    </w:rPr>
  </w:style>
  <w:style w:type="character" w:customStyle="1" w:styleId="Marker2">
    <w:name w:val="Marker2"/>
    <w:basedOn w:val="Standardskrifttypeiafsni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typeiafsnit"/>
    <w:rsid w:val="00B93465"/>
    <w:rPr>
      <w:b/>
      <w:u w:val="single"/>
      <w:shd w:val="clear" w:color="auto" w:fill="auto"/>
    </w:rPr>
  </w:style>
  <w:style w:type="character" w:customStyle="1" w:styleId="Deleted">
    <w:name w:val="Deleted"/>
    <w:basedOn w:val="Standardskrifttypeiafsni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ngrid.fi/en/"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Q6NKTZ4AMCD6-419941509-626</_dlc_DocId>
    <_dlc_DocIdUrl xmlns="3e32033b-3397-43fd-b72c-2b8d43b4dfe6">
      <Url>https://statnett.sharepoint.com/sites/SOAMaintenanceGroup_prs/_layouts/15/DocIdRedir.aspx?ID=Q6NKTZ4AMCD6-419941509-626</Url>
      <Description>Q6NKTZ4AMCD6-419941509-626</Description>
    </_dlc_DocIdUrl>
    <Sensitivity xmlns="4b02223f-79db-47c0-b5e8-5ec0321a0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EB3FFF3B614BB4C49290025910D0" ma:contentTypeVersion="8" ma:contentTypeDescription="Create a new document." ma:contentTypeScope="" ma:versionID="fb56ce263cc4b52f9c104e3457a31cd2">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b38e92ae93ac876bf08360dd1cb0f80e"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91356461-7e3a-4708-941e-562e034dd9c7"/>
    <ds:schemaRef ds:uri="aebe9ab7-2c73-4d29-a0fc-a84ac6f9495d"/>
  </ds:schemaRefs>
</ds:datastoreItem>
</file>

<file path=customXml/itemProps3.xml><?xml version="1.0" encoding="utf-8"?>
<ds:datastoreItem xmlns:ds="http://schemas.openxmlformats.org/officeDocument/2006/customXml" ds:itemID="{B63280FE-04B8-4908-8901-E1E548F88210}"/>
</file>

<file path=customXml/itemProps4.xml><?xml version="1.0" encoding="utf-8"?>
<ds:datastoreItem xmlns:ds="http://schemas.openxmlformats.org/officeDocument/2006/customXml" ds:itemID="{7B12C43B-0814-4D1D-9B31-287CB1742D43}"/>
</file>

<file path=customXml/itemProps5.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6.xml><?xml version="1.0" encoding="utf-8"?>
<ds:datastoreItem xmlns:ds="http://schemas.openxmlformats.org/officeDocument/2006/customXml" ds:itemID="{3C1C82B3-11D6-4E93-857F-B3864C52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648</TotalTime>
  <Pages>8</Pages>
  <Words>1727</Words>
  <Characters>10541</Characters>
  <Application>Microsoft Office Word</Application>
  <DocSecurity>0</DocSecurity>
  <Lines>87</Lines>
  <Paragraphs>24</Paragraphs>
  <ScaleCrop>false</ScaleCrop>
  <HeadingPairs>
    <vt:vector size="10" baseType="variant">
      <vt:variant>
        <vt:lpstr>Titel</vt:lpstr>
      </vt:variant>
      <vt:variant>
        <vt:i4>1</vt:i4>
      </vt:variant>
      <vt:variant>
        <vt:lpstr>Tittel</vt:lpstr>
      </vt:variant>
      <vt:variant>
        <vt:i4>1</vt:i4>
      </vt:variant>
      <vt:variant>
        <vt:lpstr>Otsikko</vt:lpstr>
      </vt:variant>
      <vt:variant>
        <vt:i4>1</vt:i4>
      </vt:variant>
      <vt:variant>
        <vt:lpstr>Rubrik</vt:lpstr>
      </vt:variant>
      <vt:variant>
        <vt:i4>1</vt:i4>
      </vt:variant>
      <vt:variant>
        <vt:lpstr>Title</vt:lpstr>
      </vt:variant>
      <vt:variant>
        <vt:i4>1</vt:i4>
      </vt:variant>
    </vt:vector>
  </HeadingPairs>
  <TitlesOfParts>
    <vt:vector size="5" baseType="lpstr">
      <vt:lpstr>Joint operation between the Norwegian and Western Danish subsystems on the DC links Skagerrak poles 1, 2, 3 and 4</vt:lpstr>
      <vt:lpstr>Joint operation between the Norwegian and Western Danish subsystems on the DC links Skagerrak poles 1, 2, 3 and 4</vt:lpstr>
      <vt:lpstr>Nordic System Operation Agreement (SOA) – Operational Procedure for Nordic Outage Planning Coordination (OPC)</vt:lpstr>
      <vt:lpstr>Nordic System Operation Agreement (SOA) – Operational Procedure for Outage Planning Coordination</vt:lpstr>
      <vt:lpstr>Nordic System Operation Agreement (SOA) – Annex Template LFCR</vt:lpstr>
    </vt:vector>
  </TitlesOfParts>
  <Company>Hewlett-Packard Company</Company>
  <LinksUpToDate>false</LinksUpToDate>
  <CharactersWithSpaces>12244</CharactersWithSpaces>
  <SharedDoc>false</SharedDoc>
  <HLinks>
    <vt:vector size="162" baseType="variant">
      <vt:variant>
        <vt:i4>1638451</vt:i4>
      </vt:variant>
      <vt:variant>
        <vt:i4>158</vt:i4>
      </vt:variant>
      <vt:variant>
        <vt:i4>0</vt:i4>
      </vt:variant>
      <vt:variant>
        <vt:i4>5</vt:i4>
      </vt:variant>
      <vt:variant>
        <vt:lpwstr/>
      </vt:variant>
      <vt:variant>
        <vt:lpwstr>_Toc54867995</vt:lpwstr>
      </vt:variant>
      <vt:variant>
        <vt:i4>1572915</vt:i4>
      </vt:variant>
      <vt:variant>
        <vt:i4>152</vt:i4>
      </vt:variant>
      <vt:variant>
        <vt:i4>0</vt:i4>
      </vt:variant>
      <vt:variant>
        <vt:i4>5</vt:i4>
      </vt:variant>
      <vt:variant>
        <vt:lpwstr/>
      </vt:variant>
      <vt:variant>
        <vt:lpwstr>_Toc54867994</vt:lpwstr>
      </vt:variant>
      <vt:variant>
        <vt:i4>2031667</vt:i4>
      </vt:variant>
      <vt:variant>
        <vt:i4>146</vt:i4>
      </vt:variant>
      <vt:variant>
        <vt:i4>0</vt:i4>
      </vt:variant>
      <vt:variant>
        <vt:i4>5</vt:i4>
      </vt:variant>
      <vt:variant>
        <vt:lpwstr/>
      </vt:variant>
      <vt:variant>
        <vt:lpwstr>_Toc54867993</vt:lpwstr>
      </vt:variant>
      <vt:variant>
        <vt:i4>1966131</vt:i4>
      </vt:variant>
      <vt:variant>
        <vt:i4>140</vt:i4>
      </vt:variant>
      <vt:variant>
        <vt:i4>0</vt:i4>
      </vt:variant>
      <vt:variant>
        <vt:i4>5</vt:i4>
      </vt:variant>
      <vt:variant>
        <vt:lpwstr/>
      </vt:variant>
      <vt:variant>
        <vt:lpwstr>_Toc54867992</vt:lpwstr>
      </vt:variant>
      <vt:variant>
        <vt:i4>1900595</vt:i4>
      </vt:variant>
      <vt:variant>
        <vt:i4>134</vt:i4>
      </vt:variant>
      <vt:variant>
        <vt:i4>0</vt:i4>
      </vt:variant>
      <vt:variant>
        <vt:i4>5</vt:i4>
      </vt:variant>
      <vt:variant>
        <vt:lpwstr/>
      </vt:variant>
      <vt:variant>
        <vt:lpwstr>_Toc54867991</vt:lpwstr>
      </vt:variant>
      <vt:variant>
        <vt:i4>1835059</vt:i4>
      </vt:variant>
      <vt:variant>
        <vt:i4>128</vt:i4>
      </vt:variant>
      <vt:variant>
        <vt:i4>0</vt:i4>
      </vt:variant>
      <vt:variant>
        <vt:i4>5</vt:i4>
      </vt:variant>
      <vt:variant>
        <vt:lpwstr/>
      </vt:variant>
      <vt:variant>
        <vt:lpwstr>_Toc54867990</vt:lpwstr>
      </vt:variant>
      <vt:variant>
        <vt:i4>1376306</vt:i4>
      </vt:variant>
      <vt:variant>
        <vt:i4>122</vt:i4>
      </vt:variant>
      <vt:variant>
        <vt:i4>0</vt:i4>
      </vt:variant>
      <vt:variant>
        <vt:i4>5</vt:i4>
      </vt:variant>
      <vt:variant>
        <vt:lpwstr/>
      </vt:variant>
      <vt:variant>
        <vt:lpwstr>_Toc54867989</vt:lpwstr>
      </vt:variant>
      <vt:variant>
        <vt:i4>1310770</vt:i4>
      </vt:variant>
      <vt:variant>
        <vt:i4>116</vt:i4>
      </vt:variant>
      <vt:variant>
        <vt:i4>0</vt:i4>
      </vt:variant>
      <vt:variant>
        <vt:i4>5</vt:i4>
      </vt:variant>
      <vt:variant>
        <vt:lpwstr/>
      </vt:variant>
      <vt:variant>
        <vt:lpwstr>_Toc54867988</vt:lpwstr>
      </vt:variant>
      <vt:variant>
        <vt:i4>1769522</vt:i4>
      </vt:variant>
      <vt:variant>
        <vt:i4>110</vt:i4>
      </vt:variant>
      <vt:variant>
        <vt:i4>0</vt:i4>
      </vt:variant>
      <vt:variant>
        <vt:i4>5</vt:i4>
      </vt:variant>
      <vt:variant>
        <vt:lpwstr/>
      </vt:variant>
      <vt:variant>
        <vt:lpwstr>_Toc54867987</vt:lpwstr>
      </vt:variant>
      <vt:variant>
        <vt:i4>1703986</vt:i4>
      </vt:variant>
      <vt:variant>
        <vt:i4>104</vt:i4>
      </vt:variant>
      <vt:variant>
        <vt:i4>0</vt:i4>
      </vt:variant>
      <vt:variant>
        <vt:i4>5</vt:i4>
      </vt:variant>
      <vt:variant>
        <vt:lpwstr/>
      </vt:variant>
      <vt:variant>
        <vt:lpwstr>_Toc54867986</vt:lpwstr>
      </vt:variant>
      <vt:variant>
        <vt:i4>1638450</vt:i4>
      </vt:variant>
      <vt:variant>
        <vt:i4>98</vt:i4>
      </vt:variant>
      <vt:variant>
        <vt:i4>0</vt:i4>
      </vt:variant>
      <vt:variant>
        <vt:i4>5</vt:i4>
      </vt:variant>
      <vt:variant>
        <vt:lpwstr/>
      </vt:variant>
      <vt:variant>
        <vt:lpwstr>_Toc54867985</vt:lpwstr>
      </vt:variant>
      <vt:variant>
        <vt:i4>1572914</vt:i4>
      </vt:variant>
      <vt:variant>
        <vt:i4>92</vt:i4>
      </vt:variant>
      <vt:variant>
        <vt:i4>0</vt:i4>
      </vt:variant>
      <vt:variant>
        <vt:i4>5</vt:i4>
      </vt:variant>
      <vt:variant>
        <vt:lpwstr/>
      </vt:variant>
      <vt:variant>
        <vt:lpwstr>_Toc54867984</vt:lpwstr>
      </vt:variant>
      <vt:variant>
        <vt:i4>2031666</vt:i4>
      </vt:variant>
      <vt:variant>
        <vt:i4>86</vt:i4>
      </vt:variant>
      <vt:variant>
        <vt:i4>0</vt:i4>
      </vt:variant>
      <vt:variant>
        <vt:i4>5</vt:i4>
      </vt:variant>
      <vt:variant>
        <vt:lpwstr/>
      </vt:variant>
      <vt:variant>
        <vt:lpwstr>_Toc54867983</vt:lpwstr>
      </vt:variant>
      <vt:variant>
        <vt:i4>1966130</vt:i4>
      </vt:variant>
      <vt:variant>
        <vt:i4>80</vt:i4>
      </vt:variant>
      <vt:variant>
        <vt:i4>0</vt:i4>
      </vt:variant>
      <vt:variant>
        <vt:i4>5</vt:i4>
      </vt:variant>
      <vt:variant>
        <vt:lpwstr/>
      </vt:variant>
      <vt:variant>
        <vt:lpwstr>_Toc54867982</vt:lpwstr>
      </vt:variant>
      <vt:variant>
        <vt:i4>1900594</vt:i4>
      </vt:variant>
      <vt:variant>
        <vt:i4>74</vt:i4>
      </vt:variant>
      <vt:variant>
        <vt:i4>0</vt:i4>
      </vt:variant>
      <vt:variant>
        <vt:i4>5</vt:i4>
      </vt:variant>
      <vt:variant>
        <vt:lpwstr/>
      </vt:variant>
      <vt:variant>
        <vt:lpwstr>_Toc54867981</vt:lpwstr>
      </vt:variant>
      <vt:variant>
        <vt:i4>1835058</vt:i4>
      </vt:variant>
      <vt:variant>
        <vt:i4>68</vt:i4>
      </vt:variant>
      <vt:variant>
        <vt:i4>0</vt:i4>
      </vt:variant>
      <vt:variant>
        <vt:i4>5</vt:i4>
      </vt:variant>
      <vt:variant>
        <vt:lpwstr/>
      </vt:variant>
      <vt:variant>
        <vt:lpwstr>_Toc54867980</vt:lpwstr>
      </vt:variant>
      <vt:variant>
        <vt:i4>1376317</vt:i4>
      </vt:variant>
      <vt:variant>
        <vt:i4>62</vt:i4>
      </vt:variant>
      <vt:variant>
        <vt:i4>0</vt:i4>
      </vt:variant>
      <vt:variant>
        <vt:i4>5</vt:i4>
      </vt:variant>
      <vt:variant>
        <vt:lpwstr/>
      </vt:variant>
      <vt:variant>
        <vt:lpwstr>_Toc54867979</vt:lpwstr>
      </vt:variant>
      <vt:variant>
        <vt:i4>1310781</vt:i4>
      </vt:variant>
      <vt:variant>
        <vt:i4>56</vt:i4>
      </vt:variant>
      <vt:variant>
        <vt:i4>0</vt:i4>
      </vt:variant>
      <vt:variant>
        <vt:i4>5</vt:i4>
      </vt:variant>
      <vt:variant>
        <vt:lpwstr/>
      </vt:variant>
      <vt:variant>
        <vt:lpwstr>_Toc54867978</vt:lpwstr>
      </vt:variant>
      <vt:variant>
        <vt:i4>1769533</vt:i4>
      </vt:variant>
      <vt:variant>
        <vt:i4>50</vt:i4>
      </vt:variant>
      <vt:variant>
        <vt:i4>0</vt:i4>
      </vt:variant>
      <vt:variant>
        <vt:i4>5</vt:i4>
      </vt:variant>
      <vt:variant>
        <vt:lpwstr/>
      </vt:variant>
      <vt:variant>
        <vt:lpwstr>_Toc54867977</vt:lpwstr>
      </vt:variant>
      <vt:variant>
        <vt:i4>1703997</vt:i4>
      </vt:variant>
      <vt:variant>
        <vt:i4>44</vt:i4>
      </vt:variant>
      <vt:variant>
        <vt:i4>0</vt:i4>
      </vt:variant>
      <vt:variant>
        <vt:i4>5</vt:i4>
      </vt:variant>
      <vt:variant>
        <vt:lpwstr/>
      </vt:variant>
      <vt:variant>
        <vt:lpwstr>_Toc54867976</vt:lpwstr>
      </vt:variant>
      <vt:variant>
        <vt:i4>1638461</vt:i4>
      </vt:variant>
      <vt:variant>
        <vt:i4>38</vt:i4>
      </vt:variant>
      <vt:variant>
        <vt:i4>0</vt:i4>
      </vt:variant>
      <vt:variant>
        <vt:i4>5</vt:i4>
      </vt:variant>
      <vt:variant>
        <vt:lpwstr/>
      </vt:variant>
      <vt:variant>
        <vt:lpwstr>_Toc54867975</vt:lpwstr>
      </vt:variant>
      <vt:variant>
        <vt:i4>1572925</vt:i4>
      </vt:variant>
      <vt:variant>
        <vt:i4>32</vt:i4>
      </vt:variant>
      <vt:variant>
        <vt:i4>0</vt:i4>
      </vt:variant>
      <vt:variant>
        <vt:i4>5</vt:i4>
      </vt:variant>
      <vt:variant>
        <vt:lpwstr/>
      </vt:variant>
      <vt:variant>
        <vt:lpwstr>_Toc54867974</vt:lpwstr>
      </vt:variant>
      <vt:variant>
        <vt:i4>2031677</vt:i4>
      </vt:variant>
      <vt:variant>
        <vt:i4>26</vt:i4>
      </vt:variant>
      <vt:variant>
        <vt:i4>0</vt:i4>
      </vt:variant>
      <vt:variant>
        <vt:i4>5</vt:i4>
      </vt:variant>
      <vt:variant>
        <vt:lpwstr/>
      </vt:variant>
      <vt:variant>
        <vt:lpwstr>_Toc54867973</vt:lpwstr>
      </vt:variant>
      <vt:variant>
        <vt:i4>1966141</vt:i4>
      </vt:variant>
      <vt:variant>
        <vt:i4>20</vt:i4>
      </vt:variant>
      <vt:variant>
        <vt:i4>0</vt:i4>
      </vt:variant>
      <vt:variant>
        <vt:i4>5</vt:i4>
      </vt:variant>
      <vt:variant>
        <vt:lpwstr/>
      </vt:variant>
      <vt:variant>
        <vt:lpwstr>_Toc54867972</vt:lpwstr>
      </vt:variant>
      <vt:variant>
        <vt:i4>1900605</vt:i4>
      </vt:variant>
      <vt:variant>
        <vt:i4>14</vt:i4>
      </vt:variant>
      <vt:variant>
        <vt:i4>0</vt:i4>
      </vt:variant>
      <vt:variant>
        <vt:i4>5</vt:i4>
      </vt:variant>
      <vt:variant>
        <vt:lpwstr/>
      </vt:variant>
      <vt:variant>
        <vt:lpwstr>_Toc54867971</vt:lpwstr>
      </vt:variant>
      <vt:variant>
        <vt:i4>1835069</vt:i4>
      </vt:variant>
      <vt:variant>
        <vt:i4>8</vt:i4>
      </vt:variant>
      <vt:variant>
        <vt:i4>0</vt:i4>
      </vt:variant>
      <vt:variant>
        <vt:i4>5</vt:i4>
      </vt:variant>
      <vt:variant>
        <vt:lpwstr/>
      </vt:variant>
      <vt:variant>
        <vt:lpwstr>_Toc54867970</vt:lpwstr>
      </vt:variant>
      <vt:variant>
        <vt:i4>1376316</vt:i4>
      </vt:variant>
      <vt:variant>
        <vt:i4>2</vt:i4>
      </vt:variant>
      <vt:variant>
        <vt:i4>0</vt:i4>
      </vt:variant>
      <vt:variant>
        <vt:i4>5</vt:i4>
      </vt:variant>
      <vt:variant>
        <vt:lpwstr/>
      </vt:variant>
      <vt:variant>
        <vt:lpwstr>_Toc54867969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Norwegian and Western Danish subsystems on the DC links Skagerrak poles 1, 2, 3 and 4</dc:title>
  <dc:creator>Koehring, Susanne</dc:creator>
  <cp:lastModifiedBy>Michal Rudbeck-Rønne</cp:lastModifiedBy>
  <cp:revision>111</cp:revision>
  <cp:lastPrinted>2017-01-17T08:28:00Z</cp:lastPrinted>
  <dcterms:created xsi:type="dcterms:W3CDTF">2022-04-27T19:56:00Z</dcterms:created>
  <dcterms:modified xsi:type="dcterms:W3CDTF">2022-10-27T08:14:00Z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739073e0-80e3-4a6f-af2b-07514df2e37e</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2021-03-21T06:47:11Z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bb6c0ebd-a038-48d5-a208-315f5b8938c2</vt:lpwstr>
  </property>
  <property fmtid="{D5CDD505-2E9C-101B-9397-08002B2CF9AE}" pid="13" name="MSIP_Label_c3d85773-5cd5-4f10-ac4a-b9714896040c_ContentBits">
    <vt:lpwstr>0</vt:lpwstr>
  </property>
</Properties>
</file>